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检索日期：2026-10-27 | GitHub Actions 自动生成</w:t>
      </w:r>
    </w:p>
    <w:p>
      <w:pPr>
        <w:pStyle w:val="Heading1"/>
      </w:pPr>
      <w:r>
        <w:t>今日总览</w:t>
      </w:r>
    </w:p>
    <w:p>
      <w:r>
        <w:rPr>
          <w:rFonts w:ascii="Microsoft YaHei" w:hAnsi="Microsoft YaHei" w:eastAsia="Microsoft YaHei"/>
        </w:rPr>
        <w:t>历史去重后今日新增 11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Drivers of Compound Marine Heatwaves and Acidity Extremes in the Southern Ocean</w:t>
      </w:r>
    </w:p>
    <w:p>
      <w:r>
        <w:rPr>
          <w:rFonts w:ascii="Microsoft YaHei" w:hAnsi="Microsoft YaHei" w:eastAsia="Microsoft YaHei"/>
          <w:color w:val="55697D"/>
          <w:sz w:val="18"/>
        </w:rPr>
        <w:t>作者：Joel Wong; Matthias Münnich; Nicolas Gruber</w:t>
      </w:r>
    </w:p>
    <w:p>
      <w:r>
        <w:rPr>
          <w:rFonts w:ascii="Microsoft YaHei" w:hAnsi="Microsoft YaHei" w:eastAsia="Microsoft YaHei"/>
          <w:color w:val="55697D"/>
          <w:sz w:val="18"/>
        </w:rPr>
        <w:t>期刊：Global Biogeochemical Cycles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DOI：10.1029/2026gb009430</w:t>
      </w:r>
    </w:p>
    <w:p>
      <w:r>
        <w:rPr>
          <w:rFonts w:ascii="Microsoft YaHei" w:hAnsi="Microsoft YaHei" w:eastAsia="Microsoft YaHei"/>
          <w:b/>
          <w:sz w:val="19"/>
        </w:rPr>
        <w:t>关键词：marine heatwaves; vertical structure</w:t>
      </w:r>
    </w:p>
    <w:p>
      <w:r>
        <w:rPr>
          <w:rFonts w:ascii="Microsoft YaHei" w:hAnsi="Microsoft YaHei" w:eastAsia="Microsoft YaHei"/>
          <w:sz w:val="17"/>
        </w:rPr>
        <w:t>摘要：研究主要分析变化趋势、事件响应、驱动机制或方法表现，并把观测结果与生态和生物地球化学过程联系起来。 核心结果帮助说明海洋热浪如何通过强度、持续时间或垂向结构影响生态和碳循环过程。</w:t>
      </w:r>
    </w:p>
    <w:p>
      <w:r>
        <w:rPr>
          <w:rFonts w:ascii="Microsoft YaHei" w:hAnsi="Microsoft YaHei" w:eastAsia="Microsoft YaHei"/>
          <w:color w:val="0563C1"/>
          <w:sz w:val="18"/>
        </w:rPr>
        <w:t>链接：https://doi.org/10.1029/2026gb009430</w:t>
      </w:r>
    </w:p>
    <w:p>
      <w:pPr>
        <w:pStyle w:val="Heading3"/>
      </w:pPr>
      <w:r>
        <w:rPr>
          <w:rFonts w:ascii="Microsoft YaHei" w:hAnsi="Microsoft YaHei" w:eastAsia="Microsoft YaHei"/>
          <w:b/>
        </w:rPr>
        <w:t>2. Resolving Satellite and In Situ Mismatches in Net Primary Production Using High-Frequency In Situ Bio-Optical Observations in the Subpolar Northwest Atlantic</w:t>
      </w:r>
    </w:p>
    <w:p>
      <w:r>
        <w:rPr>
          <w:rFonts w:ascii="Microsoft YaHei" w:hAnsi="Microsoft YaHei" w:eastAsia="Microsoft YaHei"/>
          <w:color w:val="55697D"/>
          <w:sz w:val="18"/>
        </w:rPr>
        <w:t>作者：Kitty Kam; Emmanuel Devred; Stephanie Clay; Mohammad M. Amirian; Andrew J. Irwin; Dariia Atamanchuk; Uwe Send; Douglas W. R. Wallace</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DOI：10.3390/rs18213681</w:t>
      </w:r>
    </w:p>
    <w:p>
      <w:r>
        <w:rPr>
          <w:rFonts w:ascii="Microsoft YaHei" w:hAnsi="Microsoft YaHei" w:eastAsia="Microsoft YaHei"/>
          <w:b/>
          <w:sz w:val="19"/>
        </w:rPr>
        <w:t>关键词：carbon pump; bio-optics</w:t>
      </w:r>
    </w:p>
    <w:p>
      <w:r>
        <w:rPr>
          <w:rFonts w:ascii="Microsoft YaHei" w:hAnsi="Microsoft YaHei" w:eastAsia="Microsoft YaHei"/>
          <w:sz w:val="17"/>
        </w:rPr>
        <w:t>摘要：研究主要分析变化趋势、事件响应、驱动机制或方法表现，并把观测结果与生态和生物地球化学过程联系起来。 核心结果或实现为该主题提供了新的观测约束、方法基准或过程解释。</w:t>
      </w:r>
    </w:p>
    <w:p>
      <w:r>
        <w:rPr>
          <w:rFonts w:ascii="Microsoft YaHei" w:hAnsi="Microsoft YaHei" w:eastAsia="Microsoft YaHei"/>
          <w:color w:val="0563C1"/>
          <w:sz w:val="18"/>
        </w:rPr>
        <w:t>链接：https://doi.org/10.3390/rs18213681</w:t>
      </w:r>
    </w:p>
    <w:p>
      <w:pPr>
        <w:pStyle w:val="Heading3"/>
      </w:pPr>
      <w:r>
        <w:rPr>
          <w:rFonts w:ascii="Microsoft YaHei" w:hAnsi="Microsoft YaHei" w:eastAsia="Microsoft YaHei"/>
          <w:b/>
        </w:rPr>
        <w:t>3. Temporal standardization of Sentinel-1 time series for annual and continuous tropical forest loss detection</w:t>
      </w:r>
    </w:p>
    <w:p>
      <w:r>
        <w:rPr>
          <w:rFonts w:ascii="Microsoft YaHei" w:hAnsi="Microsoft YaHei" w:eastAsia="Microsoft YaHei"/>
          <w:color w:val="55697D"/>
          <w:sz w:val="18"/>
        </w:rPr>
        <w:t>作者：Baptiste Delhez; Thibauld Collet; François Toussaint; Julien Radoux; Pierre Defourny</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DOI：10.3389/frsen.2026.1858704</w:t>
      </w:r>
    </w:p>
    <w:p>
      <w:r>
        <w:rPr>
          <w:rFonts w:ascii="Microsoft YaHei" w:hAnsi="Microsoft YaHei" w:eastAsia="Microsoft YaHei"/>
          <w:b/>
          <w:sz w:val="19"/>
        </w:rPr>
        <w:t>关键词：ocean colour; backscattering; bio-optics</w:t>
      </w:r>
    </w:p>
    <w:p>
      <w:r>
        <w:rPr>
          <w:rFonts w:ascii="Microsoft YaHei" w:hAnsi="Microsoft YaHei" w:eastAsia="Microsoft YaHei"/>
          <w:sz w:val="17"/>
        </w:rPr>
        <w:t>摘要：潮湿热带森林范围监测和绘图是 21 世纪生态系统保护的核心。事实证明，卫星遥感对于评估大陆范围内广大偏远地区的森林损失至关重要。然而，在非洲潮湿的热带森林中，使用光学图像进行的年度评估往往面临挑战，那里的半持续云层覆盖阻碍了短期和小规模事件的正确检测。 Sentinel-1 (S1) 合成孔径雷达 (SAR) C 波段传感器凭借其全天候成像能力，为应对连续森林监测的挑战提供相关数据，确保 12 天的重访数据采集。 本研究引入了一种对 Sentinel-1A (S1A) 时间序列进行时间标准化的方法，以提供专用于变化检测的数据集——此处应用于刚果盆地的潮湿热带森林损失监测。时间标准化将地面范围检测 (GRD) 数据的地球物理测量转换为特定于像素的 z 值或统计偏差。这种标准化防止了森林损失等稳定低值的检测，并将检测重点放在历史趋势中信号反向散射的减少上。年度和连续检测方法是根据标准化数据集联合开发的，并随后进行比较。这项研究还定义了一个综合性能度量集成，旨在评估多方面的稀有类检测性能，并指导各种 S1 数据合成的 z 值阈值选择。 表现最佳的年度指数是通过结合年度时间序列中第 10 个百分位的 VV 和 VH 综合数据得出的。最佳阈值允许检测 96. 5% 的年度森林损失面积，稳定森林范围 (FPRstable) 的年度误报率为 0. 04%。对于连续检测，在滑动时间窗口中处理三个连续的标准化观测，作为 24 天的巩固期——目前基于 SAR 的运行系统的一半。该方法检测到 98. 3% 的森林损失面积，年 FPRstable 为 0. 05%。该研究还观察并纠正基于 SAR 的热带森林损失检测系统固有的几何失真。这些发现和相关统计方法强调了时间标准化的好处，为潮湿热带森林监测提供了可用于 C-SAR 分析的数据集。</w:t>
      </w:r>
    </w:p>
    <w:p>
      <w:r>
        <w:rPr>
          <w:rFonts w:ascii="Microsoft YaHei" w:hAnsi="Microsoft YaHei" w:eastAsia="Microsoft YaHei"/>
          <w:color w:val="0563C1"/>
          <w:sz w:val="18"/>
        </w:rPr>
        <w:t>链接：https://doi.org/10.3389/frsen.2026.1858704</w:t>
      </w:r>
    </w:p>
    <w:p>
      <w:pPr>
        <w:pStyle w:val="Heading3"/>
      </w:pPr>
      <w:r>
        <w:rPr>
          <w:rFonts w:ascii="Microsoft YaHei" w:hAnsi="Microsoft YaHei" w:eastAsia="Microsoft YaHei"/>
          <w:b/>
        </w:rPr>
        <w:t>4. Scale-Dependent Agreement of Hydrological Loading Displacements from GNSS, GRACE, and a Land Surface Model in the Heihe River Basin</w:t>
      </w:r>
    </w:p>
    <w:p>
      <w:r>
        <w:rPr>
          <w:rFonts w:ascii="Microsoft YaHei" w:hAnsi="Microsoft YaHei" w:eastAsia="Microsoft YaHei"/>
          <w:color w:val="55697D"/>
          <w:sz w:val="18"/>
        </w:rPr>
        <w:t>作者：Jingzun Mao; Yue Gao; Jianmin Bian; Jongmin Park; Yaohui Nan; Rongchang Zhao; Gaohong Yin</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DOI：10.3390/rs18213673</w:t>
      </w:r>
    </w:p>
    <w:p>
      <w:r>
        <w:rPr>
          <w:rFonts w:ascii="Microsoft YaHei" w:hAnsi="Microsoft YaHei" w:eastAsia="Microsoft YaHei"/>
          <w:b/>
          <w:sz w:val="19"/>
        </w:rPr>
        <w:t>关键词：vertical structure</w:t>
      </w:r>
    </w:p>
    <w:p>
      <w:r>
        <w:rPr>
          <w:rFonts w:ascii="Microsoft YaHei" w:hAnsi="Microsoft YaHei" w:eastAsia="Microsoft YaHei"/>
          <w:sz w:val="17"/>
        </w:rPr>
        <w:t>摘要：地基全球导航卫星系统（GNSS）垂直位移提供了水文负荷的独立测量，但其解决干旱内陆盆地陆地水储存（TWS）变化的能力仍不确定。本研究将黑河流域及其周边 15 个 GNSS 站的垂直位移与基于卫星 GRACE 和基于模型的 Noah TWS 异常得出的载荷位移进行了比较。从 GNSS 系列中去除非水文信号后，GNSS-GRACE、GNSS-Noah 和 GRACE-Noah 的网络平均垂直位移之间的相关性分别为 0. 48、0. 49 和 0. 74。相同比较的平均站级相关性较低（分别为 0. 38、0. 35 和 0. 60），盆地内部的一致性较弱。 时间序列分解表明，GNSS 比 TWS 的季节周期更一致地捕获了 TWS 的年际变化。在南部，GNSS 的峰值通常早于 GRACE，但在北部则较晚。 Noah 年际变化与 GNSS 和 GRACE 都有偏差，这表明该模型在描述干旱地区水文过程方面存在局限性。总体而言，GNSS 提供了对长期 TWS 变化的独立约束以及对陆地表面模型性能的诊断。这些发现支持干旱盆地蓄水的多源监测，同时强调需要改进尺度匹配和现场验证。</w:t>
      </w:r>
    </w:p>
    <w:p>
      <w:r>
        <w:rPr>
          <w:rFonts w:ascii="Microsoft YaHei" w:hAnsi="Microsoft YaHei" w:eastAsia="Microsoft YaHei"/>
          <w:color w:val="0563C1"/>
          <w:sz w:val="18"/>
        </w:rPr>
        <w:t>链接：https://doi.org/10.3390/rs18213673</w:t>
      </w:r>
    </w:p>
    <w:p>
      <w:pPr>
        <w:pStyle w:val="Heading2"/>
      </w:pPr>
      <w:r>
        <w:t>重点关注团队</w:t>
      </w:r>
    </w:p>
    <w:p>
      <w:pPr>
        <w:pStyle w:val="Heading3"/>
      </w:pPr>
      <w:r>
        <w:rPr>
          <w:rFonts w:ascii="Microsoft YaHei" w:hAnsi="Microsoft YaHei" w:eastAsia="Microsoft YaHei"/>
          <w:b/>
        </w:rPr>
        <w:t>5. Three-dimensional structure of sub-mesoscale eddies on the continental shelf</w:t>
      </w:r>
    </w:p>
    <w:p>
      <w:r>
        <w:rPr>
          <w:rFonts w:ascii="Microsoft YaHei" w:hAnsi="Microsoft YaHei" w:eastAsia="Microsoft YaHei"/>
          <w:color w:val="55697D"/>
          <w:sz w:val="18"/>
        </w:rPr>
        <w:t>作者：Liliane Paranhos Bitencourt; Charitha Pattiaratchi; Simone Cosoli; Yasha Hetzel</w:t>
      </w:r>
    </w:p>
    <w:p>
      <w:r>
        <w:rPr>
          <w:rFonts w:ascii="Microsoft YaHei" w:hAnsi="Microsoft YaHei" w:eastAsia="Microsoft YaHei"/>
          <w:color w:val="55697D"/>
          <w:sz w:val="18"/>
        </w:rPr>
        <w:t>期刊：Ocean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DOI：10.5194/os-22-3435-2026</w:t>
      </w:r>
    </w:p>
    <w:p>
      <w:r>
        <w:rPr>
          <w:rFonts w:ascii="Microsoft YaHei" w:hAnsi="Microsoft YaHei" w:eastAsia="Microsoft YaHei"/>
          <w:b/>
          <w:sz w:val="19"/>
        </w:rPr>
        <w:t>关键词：phytoplankton; vertical structure</w:t>
      </w:r>
    </w:p>
    <w:p>
      <w:r>
        <w:rPr>
          <w:rFonts w:ascii="Microsoft YaHei" w:hAnsi="Microsoft YaHei" w:eastAsia="Microsoft YaHei"/>
          <w:sz w:val="17"/>
        </w:rPr>
        <w:t>摘要：研究主要分析变化趋势、事件响应、驱动机制或方法表现，并把观测结果与生态和生物地球化学过程联系起来。 核心结果或实现为该主题提供了新的观测约束、方法基准或过程解释。</w:t>
      </w:r>
    </w:p>
    <w:p>
      <w:r>
        <w:rPr>
          <w:rFonts w:ascii="Microsoft YaHei" w:hAnsi="Microsoft YaHei" w:eastAsia="Microsoft YaHei"/>
          <w:color w:val="0563C1"/>
          <w:sz w:val="18"/>
        </w:rPr>
        <w:t>链接：https://doi.org/10.5194/os-22-3435-2026</w:t>
      </w:r>
    </w:p>
    <w:p>
      <w:pPr>
        <w:pStyle w:val="Heading3"/>
      </w:pPr>
      <w:r>
        <w:rPr>
          <w:rFonts w:ascii="Microsoft YaHei" w:hAnsi="Microsoft YaHei" w:eastAsia="Microsoft YaHei"/>
          <w:b/>
        </w:rPr>
        <w:t>6. Regime-specific ecological seasons reveal asynchronous phytoplankton succession across contrasting trophic regimes in the Mediterranean Sea</w:t>
      </w:r>
    </w:p>
    <w:p>
      <w:r>
        <w:rPr>
          <w:rFonts w:ascii="Microsoft YaHei" w:hAnsi="Microsoft YaHei" w:eastAsia="Microsoft YaHei"/>
          <w:color w:val="55697D"/>
          <w:sz w:val="18"/>
        </w:rPr>
        <w:t>作者：Xiaocui Wu; Kan Chen; Tongzhu Han; Kaiming Sun</w:t>
      </w:r>
    </w:p>
    <w:p>
      <w:r>
        <w:rPr>
          <w:rFonts w:ascii="Microsoft YaHei" w:hAnsi="Microsoft YaHei" w:eastAsia="Microsoft YaHei"/>
          <w:color w:val="55697D"/>
          <w:sz w:val="18"/>
        </w:rPr>
        <w:t>期刊：Marine Environmental Research</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DOI：10.1016/j.marenvres.2026.108511</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链接：https://doi.org/10.1016/j.marenvres.2026.108511</w:t>
      </w:r>
    </w:p>
    <w:p>
      <w:pPr>
        <w:pStyle w:val="Heading3"/>
      </w:pPr>
      <w:r>
        <w:rPr>
          <w:rFonts w:ascii="Microsoft YaHei" w:hAnsi="Microsoft YaHei" w:eastAsia="Microsoft YaHei"/>
          <w:b/>
        </w:rPr>
        <w:t>7. Post-Penetration Excess Pore-Pressure Evolution at Cold Seeps: Sustained Negative Responses at Active Vents</w:t>
      </w:r>
    </w:p>
    <w:p>
      <w:r>
        <w:rPr>
          <w:rFonts w:ascii="Microsoft YaHei" w:hAnsi="Microsoft YaHei" w:eastAsia="Microsoft YaHei"/>
          <w:color w:val="55697D"/>
          <w:sz w:val="18"/>
        </w:rPr>
        <w:t>作者：Shiyao Luo; Longyu Lu; Wang Wei; Zhiyang Jiang; Yanlong Li</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DOI：10.3390/jmse14212012</w:t>
      </w:r>
    </w:p>
    <w:p>
      <w:r>
        <w:rPr>
          <w:rFonts w:ascii="Microsoft YaHei" w:hAnsi="Microsoft YaHei" w:eastAsia="Microsoft YaHei"/>
          <w:b/>
          <w:sz w:val="19"/>
        </w:rPr>
        <w:t>关键词：vertical structure</w:t>
      </w:r>
    </w:p>
    <w:p>
      <w:r>
        <w:rPr>
          <w:rFonts w:ascii="Microsoft YaHei" w:hAnsi="Microsoft YaHei" w:eastAsia="Microsoft YaHei"/>
          <w:sz w:val="17"/>
        </w:rPr>
        <w:t>摘要：海底冷泉是动态流体释放系统；然而，不同渗流条件下对渗透扰动的原位孔隙压力响应的记录仍然很少。为了解决这一问题，我们利用蛟龙号载人潜水器在南海北部琼东南冷泉区的六个地点进行了原位超孔隙压力测量，并对附近沉积物进行了叶片剪切试验。非喷口位点主要表现出正超孔隙压力消散，而仅在两个活跃喷口位点观察到从正超孔隙压力到持续负超孔隙压力的转变。这些转变在较浅的深度发生较早，过零时间为 0. 3~3。 2和5。6~8。在两个通风口处 7 分钟。最小超孔隙水压力范围为-22。 1至-19。 8 kPa 至 -27。 3至-22。 0 kPa，垂直压力差随着时间的推移而减小。短期波动包括深度局部变化和几乎同步的多深度响应；主要事件显示出共同的正偏移，随后快速负下降和恢复，同时伴随着所有四个深度的光谱能量增强。在附近的 A2 叶片测试点，85 cm 处的沉积物表现出比 55 cm 和 70 cm 处更高的峰值剪切强度和更低的灵敏度；在更深的孔隙压力传感器上独立观察到更长的压力衰减时间。这些发现记录了与可见通风空间相关的穿透后压力路径的对比。概念模型集成了渗透扰动、深度相关恢复和随后的负压演变。</w:t>
      </w:r>
    </w:p>
    <w:p>
      <w:r>
        <w:rPr>
          <w:rFonts w:ascii="Microsoft YaHei" w:hAnsi="Microsoft YaHei" w:eastAsia="Microsoft YaHei"/>
          <w:color w:val="0563C1"/>
          <w:sz w:val="18"/>
        </w:rPr>
        <w:t>链接：https://doi.org/10.3390/jmse14212012</w:t>
      </w:r>
    </w:p>
    <w:p>
      <w:pPr>
        <w:pStyle w:val="Heading2"/>
      </w:pPr>
      <w:r>
        <w:t>其他相关期刊：按主题相关性补充</w:t>
      </w:r>
    </w:p>
    <w:p>
      <w:pPr>
        <w:pStyle w:val="Heading3"/>
      </w:pPr>
      <w:r>
        <w:rPr>
          <w:rFonts w:ascii="Microsoft YaHei" w:hAnsi="Microsoft YaHei" w:eastAsia="Microsoft YaHei"/>
          <w:b/>
        </w:rPr>
        <w:t>8. Genomic changes revealed by repeated sampling of kelp exposed to an extreme marine heatwave</w:t>
      </w:r>
    </w:p>
    <w:p>
      <w:r>
        <w:rPr>
          <w:rFonts w:ascii="Microsoft YaHei" w:hAnsi="Microsoft YaHei" w:eastAsia="Microsoft YaHei"/>
          <w:color w:val="55697D"/>
          <w:sz w:val="18"/>
        </w:rPr>
        <w:t>作者：Jane M. Edgeloe; Thomas Wernberg; Samuel Starko; Georgina V. Wood; Antoine J. P. Minne; Sofie Vranken; David Wheeler; Jacqueline Batley; et al.</w:t>
      </w:r>
    </w:p>
    <w:p>
      <w:r>
        <w:rPr>
          <w:rFonts w:ascii="Microsoft YaHei" w:hAnsi="Microsoft YaHei" w:eastAsia="Microsoft YaHei"/>
          <w:color w:val="55697D"/>
          <w:sz w:val="18"/>
        </w:rPr>
        <w:t>期刊：Scientific Reports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DOI：10.1038/s41598-026-62722-w</w:t>
      </w:r>
    </w:p>
    <w:p>
      <w:r>
        <w:rPr>
          <w:rFonts w:ascii="Microsoft YaHei" w:hAnsi="Microsoft YaHei" w:eastAsia="Microsoft YaHei"/>
          <w:b/>
          <w:sz w:val="19"/>
        </w:rPr>
        <w:t>关键词：marine heatwaves</w:t>
      </w:r>
    </w:p>
    <w:p>
      <w:r>
        <w:rPr>
          <w:rFonts w:ascii="Microsoft YaHei" w:hAnsi="Microsoft YaHei" w:eastAsia="Microsoft YaHei"/>
          <w:sz w:val="17"/>
        </w:rPr>
        <w:t>摘要：研究主要分析变化趋势、事件响应、驱动机制或方法表现，并把观测结果与生态和生物地球化学过程联系起来。 核心结果帮助说明海洋热浪如何通过强度、持续时间或垂向结构影响生态和碳循环过程。</w:t>
      </w:r>
    </w:p>
    <w:p>
      <w:r>
        <w:rPr>
          <w:rFonts w:ascii="Microsoft YaHei" w:hAnsi="Microsoft YaHei" w:eastAsia="Microsoft YaHei"/>
          <w:color w:val="0563C1"/>
          <w:sz w:val="18"/>
        </w:rPr>
        <w:t>链接：https://doi.org/10.1038/s41598-026-62722-w</w:t>
      </w:r>
    </w:p>
    <w:p>
      <w:pPr>
        <w:pStyle w:val="Heading3"/>
      </w:pPr>
      <w:r>
        <w:rPr>
          <w:rFonts w:ascii="Microsoft YaHei" w:hAnsi="Microsoft YaHei" w:eastAsia="Microsoft YaHei"/>
          <w:b/>
        </w:rPr>
        <w:t>9. Characterization of water masses in the Sulu Sea using temperature–salinity (T-S) diagrams, dissolved oxygen, and chlorophyll-a distribution</w:t>
      </w:r>
    </w:p>
    <w:p>
      <w:r>
        <w:rPr>
          <w:rFonts w:ascii="Microsoft YaHei" w:hAnsi="Microsoft YaHei" w:eastAsia="Microsoft YaHei"/>
          <w:color w:val="55697D"/>
          <w:sz w:val="18"/>
        </w:rPr>
        <w:t>作者：Muh Firdaus; Mauludiyah</w:t>
      </w:r>
    </w:p>
    <w:p>
      <w:r>
        <w:rPr>
          <w:rFonts w:ascii="Microsoft YaHei" w:hAnsi="Microsoft YaHei" w:eastAsia="Microsoft YaHei"/>
          <w:color w:val="55697D"/>
          <w:sz w:val="18"/>
        </w:rPr>
        <w:t>期刊：Journal of Marine Resources and Coastal Management</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DOI：10.29080/mrcm.v7i2.2606</w:t>
      </w:r>
    </w:p>
    <w:p>
      <w:r>
        <w:rPr>
          <w:rFonts w:ascii="Microsoft YaHei" w:hAnsi="Microsoft YaHei" w:eastAsia="Microsoft YaHei"/>
          <w:b/>
          <w:sz w:val="19"/>
        </w:rPr>
        <w:t>关键词：phytoplankton; vertical structure</w:t>
      </w:r>
    </w:p>
    <w:p>
      <w:r>
        <w:rPr>
          <w:rFonts w:ascii="Microsoft YaHei" w:hAnsi="Microsoft YaHei" w:eastAsia="Microsoft YaHei"/>
          <w:sz w:val="17"/>
        </w:rPr>
        <w:t>摘要：苏禄海是一个半封闭的热带边缘盆地，受南海与北太平洋西部复杂交换的影响，形成了独特的水文和生物地球化学特征。本研究旨在利用温度-盐度 (T-S) 分析来表征苏禄海的水团，并检查溶解氧 (DO) 和叶绿素-a 的垂直分布作为生物物理过程的指标。这项研究的一个关键新颖之处是将 T-S 分析与 DO 和叶绿素-a 观测相结合，以对苏禄海的水团结构、通风过程和生物生产力之间的关系进行全面评估。 该分析基于 2015 年 3 月至 4 月 SEAFDEC 巡航期间在 22 个站点收集的电导率-温度-深度 (CTD) 观测结果，剖面深度约为 750 m。 T-S 分析确定了两个主要的上层海洋水团：副热带下层水体 (SLW)，其盐度最大值为 34. 5–34。温跃层（150-250 m）内的 9 psu 和北太平洋上温跃层水（NPUTW），主要在东部站观测到，表明太平洋通过保和-第波洛路径流入的影响。溶解氧表现出强烈的垂直分层，表层浓度较高（&gt; 5 mg L -1 ），而温跃层以下由于通风有限和有机物再​​矿化而浓度降低（~2 mg L -1 ）。 叶绿素-a 集中在上层透光带和温跃层附近，反映了分层和养分有效性的综合影响。综合分析表明，水体分布、氧动力学和浮游植物变异与循环路径和垂直分层密切相关。这些发现为苏禄海物理和生物地球化学过程之间的耦合提供了新的见解，并有助于增进对热带边缘海生态系统的了解。</w:t>
      </w:r>
    </w:p>
    <w:p>
      <w:r>
        <w:rPr>
          <w:rFonts w:ascii="Microsoft YaHei" w:hAnsi="Microsoft YaHei" w:eastAsia="Microsoft YaHei"/>
          <w:color w:val="0563C1"/>
          <w:sz w:val="18"/>
        </w:rPr>
        <w:t>链接：https://doi.org/10.29080/mrcm.v7i2.2606</w:t>
      </w:r>
    </w:p>
    <w:p>
      <w:pPr>
        <w:pStyle w:val="Heading3"/>
      </w:pPr>
      <w:r>
        <w:rPr>
          <w:rFonts w:ascii="Microsoft YaHei" w:hAnsi="Microsoft YaHei" w:eastAsia="Microsoft YaHei"/>
          <w:b/>
        </w:rPr>
        <w:t>10. Temporal variability of meteorological and oceanographic parameters in Tuban Waters, Indonesia, and their relationships with ENSO and IOD</w:t>
      </w:r>
    </w:p>
    <w:p>
      <w:r>
        <w:rPr>
          <w:rFonts w:ascii="Microsoft YaHei" w:hAnsi="Microsoft YaHei" w:eastAsia="Microsoft YaHei"/>
          <w:color w:val="55697D"/>
          <w:sz w:val="18"/>
        </w:rPr>
        <w:t>作者：Elsa Anggilia; Rodhi Naufal Ma’arif; Asri Sawiji; Eko Hadi Santoso</w:t>
      </w:r>
    </w:p>
    <w:p>
      <w:r>
        <w:rPr>
          <w:rFonts w:ascii="Microsoft YaHei" w:hAnsi="Microsoft YaHei" w:eastAsia="Microsoft YaHei"/>
          <w:color w:val="55697D"/>
          <w:sz w:val="18"/>
        </w:rPr>
        <w:t>期刊：Journal of Marine Resources and Coastal Management</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DOI：10.29080/mrcm.v7i2.2552</w:t>
      </w:r>
    </w:p>
    <w:p>
      <w:r>
        <w:rPr>
          <w:rFonts w:ascii="Microsoft YaHei" w:hAnsi="Microsoft YaHei" w:eastAsia="Microsoft YaHei"/>
          <w:b/>
          <w:sz w:val="19"/>
        </w:rPr>
        <w:t>关键词：phytoplankton; ocean colour</w:t>
      </w:r>
    </w:p>
    <w:p>
      <w:r>
        <w:rPr>
          <w:rFonts w:ascii="Microsoft YaHei" w:hAnsi="Microsoft YaHei" w:eastAsia="Microsoft YaHei"/>
          <w:sz w:val="17"/>
        </w:rPr>
        <w:t>摘要：研究主要分析变化趋势、事件响应、驱动机制或方法表现，并把观测结果与生态和生物地球化学过程联系起来。 核心结果或实现为该主题提供了新的观测约束、方法基准或过程解释。</w:t>
      </w:r>
    </w:p>
    <w:p>
      <w:r>
        <w:rPr>
          <w:rFonts w:ascii="Microsoft YaHei" w:hAnsi="Microsoft YaHei" w:eastAsia="Microsoft YaHei"/>
          <w:color w:val="0563C1"/>
          <w:sz w:val="18"/>
        </w:rPr>
        <w:t>链接：https://doi.org/10.29080/mrcm.v7i2.2552</w:t>
      </w:r>
    </w:p>
    <w:p>
      <w:pPr>
        <w:pStyle w:val="Heading3"/>
      </w:pPr>
      <w:r>
        <w:rPr>
          <w:rFonts w:ascii="Microsoft YaHei" w:hAnsi="Microsoft YaHei" w:eastAsia="Microsoft YaHei"/>
          <w:b/>
        </w:rPr>
        <w:t>11. Environmental and Biological Variability Across Spring Trawl Surveys in the Yun–Chang Rise, Taiwan Strait</w:t>
      </w:r>
    </w:p>
    <w:p>
      <w:r>
        <w:rPr>
          <w:rFonts w:ascii="Microsoft YaHei" w:hAnsi="Microsoft YaHei" w:eastAsia="Microsoft YaHei"/>
          <w:color w:val="55697D"/>
          <w:sz w:val="18"/>
        </w:rPr>
        <w:t>作者：Chia-Wei Hu; Ke-Yang Chang; Chun-Huei Li; Hsin-Ming Yeh; Mao-Ying Lee; Shih-Chang Chuang; Meng-Chang Tsai; Lu-Chi Chen</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DOI：10.3390/jmse14212014</w:t>
      </w:r>
    </w:p>
    <w:p>
      <w:r>
        <w:rPr>
          <w:rFonts w:ascii="Microsoft YaHei" w:hAnsi="Microsoft YaHei" w:eastAsia="Microsoft YaHei"/>
          <w:b/>
          <w:sz w:val="19"/>
        </w:rPr>
        <w:t>关键词：phytoplankton</w:t>
      </w:r>
    </w:p>
    <w:p>
      <w:r>
        <w:rPr>
          <w:rFonts w:ascii="Microsoft YaHei" w:hAnsi="Microsoft YaHei" w:eastAsia="Microsoft YaHei"/>
          <w:sz w:val="17"/>
        </w:rPr>
        <w:t>摘要：本研究考察了 2019 年 5 月、2020 年 4 月和 2021 年 5 月在台湾海峡云张隆起 (YCR) 七个固定站进行的三项春季拖网调查的环境和生物变异性。单位努力渔获量 (CPUE)、类群丰富度、生物多样性指数、组合组成和主要类群特异性反应在不同调查期间进行比较，考虑到固定站的重复采样。使用近底部温度和盐度、表面流速以及卫星衍生的表面叶绿素-a 浓度来表征环境变化。 CPUE、类群丰富度或生物多样性指数在调查期间没有发现显着差异。 同样，PERMANOVA 基于所有三项调查中捕捞量均非零的四个站点的 12 个观测结果，没有发现调查期间对组合组成的显着影响（伪 F = 1. 35，R2 = 0. 231，p = 0. 22）。 nMDS 排序显示调查期间存在大量重叠，而 SIMPER 显示调查之间的平均差异较高。然而，五个主要的 SIMPER 贡献者中没有一个在丰度或物种特异性 CPUE 方面表现出显着差异。相反，考虑到固定站的重复采样后，不同调查期间的多元环境条件存在显着差异（伪 F = 4. 689，R2 = 0. 510，p = 0. 010）。站点限制的典型对应分析（CCA）没有检测到所选分类单元组合与测量的环境变量之间的显着总体关系（伪F = 0。 9、p = 0. 304;调整后的解释变异 = 0%）。这些发现表明，春季调查中统计上可检测到的环境差异并不伴随着对分析站内组合组成或总体群落指标的一致的、统计上可检测的调查周期影响。因此，整合环境、组合水平和特定分类群的评估对于解释生态变异性同时认识到抽样设计的空间和时间限制非常重要。</w:t>
      </w:r>
    </w:p>
    <w:p>
      <w:r>
        <w:rPr>
          <w:rFonts w:ascii="Microsoft YaHei" w:hAnsi="Microsoft YaHei" w:eastAsia="Microsoft YaHei"/>
          <w:color w:val="0563C1"/>
          <w:sz w:val="18"/>
        </w:rPr>
        <w:t>链接：https://doi.org/10.3390/jmse14212014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