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检索日期：2026-09-26 | GitHub Actions 自动生成</w:t>
      </w:r>
    </w:p>
    <w:p>
      <w:pPr>
        <w:pStyle w:val="Heading1"/>
      </w:pPr>
      <w:r>
        <w:t>今日总览</w:t>
      </w:r>
    </w:p>
    <w:p>
      <w:r>
        <w:rPr>
          <w:rFonts w:ascii="Microsoft YaHei" w:hAnsi="Microsoft YaHei" w:eastAsia="Microsoft YaHei"/>
        </w:rPr>
        <w:t>历史去重后今日新增 4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Atlantic Multidecadal Oscillation and Solar Forcing Modulate Decadal‐Scale Variability in Northwest Pacific Tropical Cyclone Precipitation</w:t>
      </w:r>
    </w:p>
    <w:p>
      <w:r>
        <w:rPr>
          <w:rFonts w:ascii="Microsoft YaHei" w:hAnsi="Microsoft YaHei" w:eastAsia="Microsoft YaHei"/>
          <w:color w:val="55697D"/>
          <w:sz w:val="18"/>
        </w:rPr>
        <w:t>作者：Yuchen Shi; Wei Jiang; Yangyang Yong; Tingwu Gu; Caifeng Liu; Siqi Du; Yuyan Jiang; Ting Yang; et al.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DOI：10.1029/2026jc024472</w:t>
      </w:r>
    </w:p>
    <w:p>
      <w:r>
        <w:rPr>
          <w:rFonts w:ascii="Microsoft YaHei" w:hAnsi="Microsoft YaHei" w:eastAsia="Microsoft YaHei"/>
          <w:b/>
          <w:sz w:val="19"/>
        </w:rPr>
        <w:t>关键词：ocean biogeochemistry</w:t>
      </w:r>
    </w:p>
    <w:p>
      <w:r>
        <w:rPr>
          <w:rFonts w:ascii="Microsoft YaHei" w:hAnsi="Microsoft YaHei" w:eastAsia="Microsoft YaHei"/>
          <w:sz w:val="17"/>
        </w:rPr>
        <w:t>摘要：与热带气旋（TC）相关的极端降水对沿海社区构成了越来越大的威胁，但短暂的仪器记录阻碍了对长期变化的评估。在这里，我们通过使用先前发布的每月解析的珊瑚氧同位素（δ 18 O）记录开发TC降水的定量代理来解决这一差距。该记录源自在台湾南部近海采集的单个滨珊瑚样本，该地区位于西北太平洋最活跃的热带气旋区。由于珊瑚δ 18 O 反映了海面温度和海水δ 18 O，因此我们根据珊瑚记录的同位素贫化淡水输入的水文和同位素印记推断TC 降水。根据现代数据（1998-2012 CE）进行校准，该代理识别出极端TC事件，检出率约为78%。 我们重建了 1906-2012 年 TC 降水变化的基于珊瑚的指数。然后，我们使用光谱分析来表征重建指数的低频变化，并使用相关分析评估其与主要气候驱动因素的关联。 106 年的记录揭示了明显的年代际变化，主要受到大西洋数十年涛动和太阳强迫的调节，而厄尔尼诺-南方涛动和太平洋年代际涛动的影响是非平稳的，在 20 世纪 50 年代后变得更加连贯。我们的重建限制了仪器测量前的热带气旋水文气候变化及其驱动因素，为未来的预测和持续变暖下的沿海风险评估提供了信息。</w:t>
      </w:r>
    </w:p>
    <w:p>
      <w:r>
        <w:rPr>
          <w:rFonts w:ascii="Microsoft YaHei" w:hAnsi="Microsoft YaHei" w:eastAsia="Microsoft YaHei"/>
          <w:color w:val="0563C1"/>
          <w:sz w:val="18"/>
        </w:rPr>
        <w:t>链接：https://doi.org/10.1029/2026jc024472</w:t>
      </w:r>
    </w:p>
    <w:p>
      <w:pPr>
        <w:pStyle w:val="Heading3"/>
      </w:pPr>
      <w:r>
        <w:rPr>
          <w:rFonts w:ascii="Microsoft YaHei" w:hAnsi="Microsoft YaHei" w:eastAsia="Microsoft YaHei"/>
          <w:b/>
        </w:rPr>
        <w:t>2. Phytoplankton community structure and subsurface chlorophyll maxima along the eastern Arabian Sea during the inter-monsoon seasons</w:t>
      </w:r>
    </w:p>
    <w:p>
      <w:r>
        <w:rPr>
          <w:rFonts w:ascii="Microsoft YaHei" w:hAnsi="Microsoft YaHei" w:eastAsia="Microsoft YaHei"/>
          <w:color w:val="55697D"/>
          <w:sz w:val="18"/>
        </w:rPr>
        <w:t>作者：B. Bikram Reddy; Anil Kumar Vijayan; V. Sudheesh; C.K. Sherin</w:t>
      </w:r>
    </w:p>
    <w:p>
      <w:r>
        <w:rPr>
          <w:rFonts w:ascii="Microsoft YaHei" w:hAnsi="Microsoft YaHei" w:eastAsia="Microsoft YaHei"/>
          <w:color w:val="55697D"/>
          <w:sz w:val="18"/>
        </w:rPr>
        <w:t>期刊：Deep Sea Research Part II: Topical Studies in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DOI：10.1016/j.dsr2.2026.105714</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链接：https://doi.org/10.1016/j.dsr2.2026.105714</w:t>
      </w:r>
    </w:p>
    <w:p>
      <w:pPr>
        <w:pStyle w:val="Heading3"/>
      </w:pPr>
      <w:r>
        <w:rPr>
          <w:rFonts w:ascii="Microsoft YaHei" w:hAnsi="Microsoft YaHei" w:eastAsia="Microsoft YaHei"/>
          <w:b/>
        </w:rPr>
        <w:t>3. Biophysical controls on diel variability of phytoplankton biomass, composition, and dissolved organic matter during Green Noctiluca scintillans blooms in the Northeastern Arabian Sea</w:t>
      </w:r>
    </w:p>
    <w:p>
      <w:r>
        <w:rPr>
          <w:rFonts w:ascii="Microsoft YaHei" w:hAnsi="Microsoft YaHei" w:eastAsia="Microsoft YaHei"/>
          <w:color w:val="55697D"/>
          <w:sz w:val="18"/>
        </w:rPr>
        <w:t>作者：Sudarsana Rao Pandi; R. Chandrasekhar Naik; S.K. Baliarsingh; Aneesh A. Lotliker; Sourav Das; Nittala S. Sarma; Sarat C. Tripathy</w:t>
      </w:r>
    </w:p>
    <w:p>
      <w:r>
        <w:rPr>
          <w:rFonts w:ascii="Microsoft YaHei" w:hAnsi="Microsoft YaHei" w:eastAsia="Microsoft YaHei"/>
          <w:color w:val="55697D"/>
          <w:sz w:val="18"/>
        </w:rPr>
        <w:t>期刊：Deep Sea Research Part II: Topical Studies in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DOI：10.1016/j.dsr2.2026.105713</w:t>
      </w:r>
    </w:p>
    <w:p>
      <w:r>
        <w:rPr>
          <w:rFonts w:ascii="Microsoft YaHei" w:hAnsi="Microsoft YaHei" w:eastAsia="Microsoft YaHei"/>
          <w:b/>
          <w:sz w:val="19"/>
        </w:rPr>
        <w:t>关键词：phytoplankton; microbial carbon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链接：https://doi.org/10.1016/j.dsr2.2026.105713</w:t>
      </w:r>
    </w:p>
    <w:p>
      <w:pPr>
        <w:pStyle w:val="Heading2"/>
      </w:pPr>
      <w:r>
        <w:t>重点关注团队</w:t>
      </w:r>
    </w:p>
    <w:p>
      <w:pPr>
        <w:pStyle w:val="Heading3"/>
      </w:pPr>
      <w:r>
        <w:rPr>
          <w:rFonts w:ascii="Microsoft YaHei" w:hAnsi="Microsoft YaHei" w:eastAsia="Microsoft YaHei"/>
          <w:b/>
        </w:rPr>
        <w:t>4. Red Tide Algal Toxin-Induced Intestinal Injury in Marine Fish: Mechanisms, Gut Microecology, and Aquaculture Health Risk Assessment</w:t>
      </w:r>
    </w:p>
    <w:p>
      <w:r>
        <w:rPr>
          <w:rFonts w:ascii="Microsoft YaHei" w:hAnsi="Microsoft YaHei" w:eastAsia="Microsoft YaHei"/>
          <w:color w:val="55697D"/>
          <w:sz w:val="18"/>
        </w:rPr>
        <w:t>作者：Lingxiao Hang; Haihua Xu; Yanzhe Ding; Peipei Chen; Xingang Song; Dongsheng Shi; Zhongwei Chen</w:t>
      </w:r>
    </w:p>
    <w:p>
      <w:r>
        <w:rPr>
          <w:rFonts w:ascii="Microsoft YaHei" w:hAnsi="Microsoft YaHei" w:eastAsia="Microsoft YaHei"/>
          <w:color w:val="55697D"/>
          <w:sz w:val="18"/>
        </w:rPr>
        <w:t>期刊：Veterinary Sciences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DOI：10.3390/vetsci13101012</w:t>
      </w:r>
    </w:p>
    <w:p>
      <w:r>
        <w:rPr>
          <w:rFonts w:ascii="Microsoft YaHei" w:hAnsi="Microsoft YaHei" w:eastAsia="Microsoft YaHei"/>
          <w:b/>
          <w:sz w:val="19"/>
        </w:rPr>
        <w:t>关键词：ocean biogeochemistry</w:t>
      </w:r>
    </w:p>
    <w:p>
      <w:r>
        <w:rPr>
          <w:rFonts w:ascii="Microsoft YaHei" w:hAnsi="Microsoft YaHei" w:eastAsia="Microsoft YaHei"/>
          <w:sz w:val="17"/>
        </w:rPr>
        <w:t>摘要：有害藻华 (HAB) 可能会导致暴露的海洋鱼类迅速、大量死亡，通常在鱼级诊断采样可以指导应急响应之前发生。本综述比较了由麻痹性贝类毒素、冈田酸和甲藻毒素、短尾藻毒素和致死鱼类引起的肠道损伤的毒素特异性证据，同时区分了海洋鱼类中的直接证据和其他模型中的证据。肠道屏障破坏、炎症和微生物组变化对于解释亚致死暴露、幸存者恢复和事件后归因很有价值。不建议将它们作为急性鱼类死亡期间的操作触发因素。 相反，实际管理主要取决于暴露前的特定地点环境监测、水华临近时预先确定的应急行动，以及长期减少可避免的养分和废物输入，这些因素会导致当地水华风险。四阶段框架将环境危害、鱼类暴露、生物效应以及生产或食品安全结果与每次转变的定量指标和明确的不确定性联系起来。此修订范围将机械肠道毒理学置于海水养殖的生态时间尺度和操作限制内。</w:t>
      </w:r>
    </w:p>
    <w:p>
      <w:r>
        <w:rPr>
          <w:rFonts w:ascii="Microsoft YaHei" w:hAnsi="Microsoft YaHei" w:eastAsia="Microsoft YaHei"/>
          <w:color w:val="0563C1"/>
          <w:sz w:val="18"/>
        </w:rPr>
        <w:t>链接：https://doi.org/10.3390/vetsci13101012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