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7324D"/>
          <w:sz w:val="44"/>
        </w:rPr>
        <w:t>每日论文推送</w:t>
      </w:r>
    </w:p>
    <w:p>
      <w:pPr>
        <w:jc w:val="center"/>
      </w:pPr>
      <w:r>
        <w:rPr>
          <w:rFonts w:ascii="Microsoft YaHei" w:hAnsi="Microsoft YaHei" w:eastAsia="Microsoft YaHei"/>
          <w:color w:val="55697D"/>
          <w:sz w:val="19"/>
        </w:rPr>
        <w:t>检索日期：2026-06-22 | GitHub Actions 自动生成</w:t>
      </w:r>
    </w:p>
    <w:p>
      <w:pPr>
        <w:pStyle w:val="Heading1"/>
      </w:pPr>
      <w:r>
        <w:t>今日总览</w:t>
      </w:r>
    </w:p>
    <w:p>
      <w:r>
        <w:rPr>
          <w:rFonts w:ascii="Microsoft YaHei" w:hAnsi="Microsoft YaHei" w:eastAsia="Microsoft YaHei"/>
        </w:rPr>
        <w:t>历史去重后今日新增 6 篇。排序规则：Nature 系列、Science 系列、其余重点期刊、重点关注团队、其他相关补充论文。</w:t>
      </w:r>
    </w:p>
    <w:p>
      <w:pPr>
        <w:pStyle w:val="Heading1"/>
      </w:pPr>
      <w:r>
        <w:t>论文速读</w:t>
      </w:r>
    </w:p>
    <w:p>
      <w:pPr>
        <w:pStyle w:val="Heading2"/>
      </w:pPr>
      <w:r>
        <w:t>重点期刊：按影响力和相关性排序</w:t>
      </w:r>
    </w:p>
    <w:p>
      <w:pPr>
        <w:pStyle w:val="Heading3"/>
      </w:pPr>
      <w:r>
        <w:rPr>
          <w:rFonts w:ascii="Microsoft YaHei" w:hAnsi="Microsoft YaHei" w:eastAsia="Microsoft YaHei"/>
          <w:b/>
        </w:rPr>
        <w:t>1. A Top‐Down View of Global and Regional Carbon Budgets From an Ensemble of Atmospheric Inversions</w:t>
      </w:r>
    </w:p>
    <w:p>
      <w:r>
        <w:rPr>
          <w:rFonts w:ascii="Microsoft YaHei" w:hAnsi="Microsoft YaHei" w:eastAsia="Microsoft YaHei"/>
          <w:color w:val="55697D"/>
          <w:sz w:val="18"/>
        </w:rPr>
        <w:t>作者：A. M. van der Woude; I. T. Luijkx; R. J. de Kok; W. Peters; F. Chevallier; C. Rödenbeck; P. Ciais; N. Chandra; et al.</w:t>
      </w:r>
    </w:p>
    <w:p>
      <w:r>
        <w:rPr>
          <w:rFonts w:ascii="Microsoft YaHei" w:hAnsi="Microsoft YaHei" w:eastAsia="Microsoft YaHei"/>
          <w:color w:val="55697D"/>
          <w:sz w:val="18"/>
        </w:rPr>
        <w:t>期刊：Global Biogeochemical Cycles</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DOI：10.1029/2025gb008779</w:t>
      </w:r>
    </w:p>
    <w:p>
      <w:r>
        <w:rPr>
          <w:rFonts w:ascii="Microsoft YaHei" w:hAnsi="Microsoft YaHei" w:eastAsia="Microsoft YaHei"/>
          <w:b/>
          <w:sz w:val="19"/>
        </w:rPr>
        <w:t>关键词：ocean biogeochemistry</w:t>
      </w:r>
    </w:p>
    <w:p>
      <w:r>
        <w:rPr>
          <w:rFonts w:ascii="Microsoft YaHei" w:hAnsi="Microsoft YaHei" w:eastAsia="Microsoft YaHei"/>
          <w:sz w:val="17"/>
        </w:rPr>
        <w:t>摘要：大气反演根据原位观测的大气 CO 2 摩尔分数或基于卫星的柱平均 CO 2 (XCO 2 ) 提供表面 CO 2 通量估计。在此，我们对全球碳预算 (GCB2024) 中包含的 14 个大气 CO 2 反演进行了详细评估。我们开发工具来进一步评估和在全球和区域碳循环研究中使用这些反演，包括 GCB 和区域碳循环评估和流程 (RECCAP2) 计划。我们表明，所有反演都可以很好地再现全球大气CO 2 增长率及其年际变化。与自下而上的模型相反，反演提供直接受观测约束的碳通量估计。我们对 2015 年至 2023 年期间全球汇的总体平均估计为 -1。 410. 55 PgC 年 -1 为净土地汇（包括土地利用变化排放）和 -2。 970. 55 PgC yr -1 全球净海洋汇（报告的不确定性为反演过程中的不确定性；估计值包括化石燃料和河流通量调整）。在区域尺度上，我们发现跨区域反演之间的通量估计存在显着差异，并且我们提出了标准和度量来导出通量观测关系约束或基于独立观测的反演子选择集合。此外，我们使用大气反演来评估大气中CO 2 的增长率。我们表明，由于大气混合，用于将基于年观测的增长率转换为净通量的因子会随着时间的推移而变化。最后，我们提出了关于如何由更广泛的碳循环界在全球和区域碳预算研究中使用反演结果的指南。</w:t>
      </w:r>
    </w:p>
    <w:p>
      <w:r>
        <w:rPr>
          <w:rFonts w:ascii="Microsoft YaHei" w:hAnsi="Microsoft YaHei" w:eastAsia="Microsoft YaHei"/>
          <w:color w:val="0563C1"/>
          <w:sz w:val="18"/>
        </w:rPr>
        <w:t>链接：https://doi.org/10.1029/2025gb008779</w:t>
      </w:r>
    </w:p>
    <w:p>
      <w:pPr>
        <w:pStyle w:val="Heading2"/>
      </w:pPr>
      <w:r>
        <w:t>重点关注团队</w:t>
      </w:r>
    </w:p>
    <w:p>
      <w:pPr>
        <w:pStyle w:val="Heading3"/>
      </w:pPr>
      <w:r>
        <w:rPr>
          <w:rFonts w:ascii="Microsoft YaHei" w:hAnsi="Microsoft YaHei" w:eastAsia="Microsoft YaHei"/>
          <w:b/>
        </w:rPr>
        <w:t>2. Physiological responses of the diatom Skeletonema costatum and dinoflagellate Prorocentrum micans to marine heatwave under phosphorous restriction</w:t>
      </w:r>
    </w:p>
    <w:p>
      <w:r>
        <w:rPr>
          <w:rFonts w:ascii="Microsoft YaHei" w:hAnsi="Microsoft YaHei" w:eastAsia="Microsoft YaHei"/>
          <w:color w:val="55697D"/>
          <w:sz w:val="18"/>
        </w:rPr>
        <w:t>作者：Hongyan Wu; Jinshuo Gai; Mingze Li; Yan Zhao; Baoqi Li; Zhiguang Xu; Guanglei Yu</w:t>
      </w:r>
    </w:p>
    <w:p>
      <w:r>
        <w:rPr>
          <w:rFonts w:ascii="Microsoft YaHei" w:hAnsi="Microsoft YaHei" w:eastAsia="Microsoft YaHei"/>
          <w:color w:val="55697D"/>
          <w:sz w:val="18"/>
        </w:rPr>
        <w:t>期刊：Journal of Oceanology and Limnology</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DOI：10.1007/s00343-026-6007-6</w:t>
      </w:r>
    </w:p>
    <w:p>
      <w:r>
        <w:rPr>
          <w:rFonts w:ascii="Microsoft YaHei" w:hAnsi="Microsoft YaHei" w:eastAsia="Microsoft YaHei"/>
          <w:b/>
          <w:sz w:val="19"/>
        </w:rPr>
        <w:t>关键词：marine heatwaves</w:t>
      </w:r>
    </w:p>
    <w:p>
      <w:r>
        <w:rPr>
          <w:rFonts w:ascii="Microsoft YaHei" w:hAnsi="Microsoft YaHei" w:eastAsia="Microsoft YaHei"/>
          <w:sz w:val="17"/>
        </w:rPr>
        <w:t>摘要：Crossref 未提供该 DOI 的摘要。</w:t>
      </w:r>
    </w:p>
    <w:p>
      <w:r>
        <w:rPr>
          <w:rFonts w:ascii="Microsoft YaHei" w:hAnsi="Microsoft YaHei" w:eastAsia="Microsoft YaHei"/>
          <w:color w:val="0563C1"/>
          <w:sz w:val="18"/>
        </w:rPr>
        <w:t>链接：https://doi.org/10.1007/s00343-026-6007-6</w:t>
      </w:r>
    </w:p>
    <w:p>
      <w:pPr>
        <w:pStyle w:val="Heading3"/>
      </w:pPr>
      <w:r>
        <w:rPr>
          <w:rFonts w:ascii="Microsoft YaHei" w:hAnsi="Microsoft YaHei" w:eastAsia="Microsoft YaHei"/>
          <w:b/>
        </w:rPr>
        <w:t>3. Antifouling in Marine Aquaculture: Mechanisms, Strategies, and Sustainable Design Guidelines</w:t>
      </w:r>
    </w:p>
    <w:p>
      <w:r>
        <w:rPr>
          <w:rFonts w:ascii="Microsoft YaHei" w:hAnsi="Microsoft YaHei" w:eastAsia="Microsoft YaHei"/>
          <w:color w:val="55697D"/>
          <w:sz w:val="18"/>
        </w:rPr>
        <w:t>作者：Channa Hamadullah; Pan Cao; Xiaodan Liu; Shuyan Miao</w:t>
      </w:r>
    </w:p>
    <w:p>
      <w:r>
        <w:rPr>
          <w:rFonts w:ascii="Microsoft YaHei" w:hAnsi="Microsoft YaHei" w:eastAsia="Microsoft YaHei"/>
          <w:color w:val="55697D"/>
          <w:sz w:val="18"/>
        </w:rPr>
        <w:t>期刊：Reviews in Aquaculture</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DOI：10.1111/raq.70183</w:t>
      </w:r>
    </w:p>
    <w:p>
      <w:r>
        <w:rPr>
          <w:rFonts w:ascii="Microsoft YaHei" w:hAnsi="Microsoft YaHei" w:eastAsia="Microsoft YaHei"/>
          <w:b/>
          <w:sz w:val="19"/>
        </w:rPr>
        <w:t>关键词：ocean biogeochemistry</w:t>
      </w:r>
    </w:p>
    <w:p>
      <w:r>
        <w:rPr>
          <w:rFonts w:ascii="Microsoft YaHei" w:hAnsi="Microsoft YaHei" w:eastAsia="Microsoft YaHei"/>
          <w:sz w:val="17"/>
        </w:rPr>
        <w:t>摘要：防污仍然是海水养殖扩张的一个关键制约因素，但现有的知识在材料科学、流体动力学、生态学和农业经济学方面都是分散的。本综述通过对 200 多项初步研究和综述的结构化文献综述，综合了对海洋生物污垢和水产养殖基础设施腐蚀的机制理解，涵盖材料科学、流体动力学、生态学、环境评估、运营管理和系统级防污设计。主要策略类别，包括杀菌自抛光涂层、铜合金网、污物释放有机硅、亲水性、两性离子、两亲性、光催化、纳米复合材料和仿生系统，与机器人清洁和高光谱监测等非涂层操作措施一起进行评估。 通过比较它们的性能、环境概况和实施限制，该审查将当前证据转化为海水养殖的系统级设计指南。研究结果强调了生物污垢对阻力、溶解氧、结构完整性和生态系统响应影响的多尺度性质，并表明没有单一技术在性能、环境风险和成本方面占据主导地位。该审查提供了综合设计和报告清单、用于选择涂层和结构的多标准决策工作流程以及主要策略类型的环境风险矩阵。前瞻性路线图概述了适应性多功能材料、养殖场规模建模和协调治理的优先事项，为海水养殖防污提供了机制知情的系统级基础。</w:t>
      </w:r>
    </w:p>
    <w:p>
      <w:r>
        <w:rPr>
          <w:rFonts w:ascii="Microsoft YaHei" w:hAnsi="Microsoft YaHei" w:eastAsia="Microsoft YaHei"/>
          <w:color w:val="0563C1"/>
          <w:sz w:val="18"/>
        </w:rPr>
        <w:t>链接：https://doi.org/10.1111/raq.70183</w:t>
      </w:r>
    </w:p>
    <w:p>
      <w:pPr>
        <w:pStyle w:val="Heading2"/>
      </w:pPr>
      <w:r>
        <w:t>其他相关期刊：按主题相关性补充</w:t>
      </w:r>
    </w:p>
    <w:p>
      <w:pPr>
        <w:pStyle w:val="Heading3"/>
      </w:pPr>
      <w:r>
        <w:rPr>
          <w:rFonts w:ascii="Microsoft YaHei" w:hAnsi="Microsoft YaHei" w:eastAsia="Microsoft YaHei"/>
          <w:b/>
        </w:rPr>
        <w:t>4. Estimation of Rice Chlorophyll Content in Salt-Affected Soils Using UAV-Based Multispectral Sensing</w:t>
      </w:r>
    </w:p>
    <w:p>
      <w:r>
        <w:rPr>
          <w:rFonts w:ascii="Microsoft YaHei" w:hAnsi="Microsoft YaHei" w:eastAsia="Microsoft YaHei"/>
          <w:color w:val="55697D"/>
          <w:sz w:val="18"/>
        </w:rPr>
        <w:t>作者：Juhadi; Fajar Dwi Handoko; Eva Banowati; Tjaturahono Budi Sanjoto; Vina Nurul Husna</w:t>
      </w:r>
    </w:p>
    <w:p>
      <w:r>
        <w:rPr>
          <w:rFonts w:ascii="Microsoft YaHei" w:hAnsi="Microsoft YaHei" w:eastAsia="Microsoft YaHei"/>
          <w:color w:val="55697D"/>
          <w:sz w:val="18"/>
        </w:rPr>
        <w:t>期刊：Forum Geografi</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DOI：10.23917/forgeo.16868</w:t>
      </w:r>
    </w:p>
    <w:p>
      <w:r>
        <w:rPr>
          <w:rFonts w:ascii="Microsoft YaHei" w:hAnsi="Microsoft YaHei" w:eastAsia="Microsoft YaHei"/>
          <w:b/>
          <w:sz w:val="19"/>
        </w:rPr>
        <w:t>关键词：phytoplankton; ocean colour</w:t>
      </w:r>
    </w:p>
    <w:p>
      <w:r>
        <w:rPr>
          <w:rFonts w:ascii="Microsoft YaHei" w:hAnsi="Microsoft YaHei" w:eastAsia="Microsoft YaHei"/>
          <w:sz w:val="17"/>
        </w:rPr>
        <w:t>摘要：沿海地区水稻生产力的下降往往与农田盐碱化有关。叶绿素作为植物健康的指标，可以使用遥感技术进行监测。本研究旨在评估多光谱无人机图像估算水稻叶绿素含量的能力，并比较盐碱沿海稻田中几种植被指数的有效性。使用 DJI Phantom 4 多光谱无人机在 Kendal Regency 的 ±30 公顷稻田的营养阶段（种植后 30-45 天）收集数据。现场测量包括叶绿素含量 (SPAD) 和土壤电导率 (EC)。结果表明，土壤盐分与水稻叶绿素含量之间的相关性较弱且在统计上不显着（r = 0. 119；p = 0. 571）。 这些结果表明，在本研究的特定条件下，以中等盐度水平（±4. 47 dS/m）和使用不同程度耐受性的水稻品种（Ciherang为耐受性，IR32为中度耐受性）为特征，叶绿素的空间变异受物候阶段和微环境因素的影响比盐胁迫的影响更强烈。在评估的指数中，基于红边的指数表现出最好的性能，其中 CIre (R² = 0. 831) 和 NDRE (R² = 0. 822) 产生最低的估计误差，而 NDVI (R²= 0. 297) 受到光谱饱和度的限制，CIg (R²=0. 415) 受到其对植物冠层结构敏感性的影响。这些结果表明，基于红边的指数对于绘制叶绿素变异性非常有效。 本研究中观察到的盐度影响有限，可能是由于水稻品种的耐受性以及盐度水平仍低于临界阈值。因此，推荐 CIre 和 NDRE 作为利用多光谱无人机图像估算沿海稻田水稻叶绿素的最有效指数。</w:t>
      </w:r>
    </w:p>
    <w:p>
      <w:r>
        <w:rPr>
          <w:rFonts w:ascii="Microsoft YaHei" w:hAnsi="Microsoft YaHei" w:eastAsia="Microsoft YaHei"/>
          <w:color w:val="0563C1"/>
          <w:sz w:val="18"/>
        </w:rPr>
        <w:t>链接：https://doi.org/10.23917/forgeo.16868</w:t>
      </w:r>
    </w:p>
    <w:p>
      <w:pPr>
        <w:pStyle w:val="Heading3"/>
      </w:pPr>
      <w:r>
        <w:rPr>
          <w:rFonts w:ascii="Microsoft YaHei" w:hAnsi="Microsoft YaHei" w:eastAsia="Microsoft YaHei"/>
          <w:b/>
        </w:rPr>
        <w:t>5. Short-term attenuation of nitrate and microcystin-LR using a bamboo biochar-immobilized AK3–M3 bacterial consortium in laboratory and in situ freshwater systems</w:t>
      </w:r>
    </w:p>
    <w:p>
      <w:r>
        <w:rPr>
          <w:rFonts w:ascii="Microsoft YaHei" w:hAnsi="Microsoft YaHei" w:eastAsia="Microsoft YaHei"/>
          <w:color w:val="55697D"/>
          <w:sz w:val="18"/>
        </w:rPr>
        <w:t>作者：Kittiya Phinyo; Kritsana Duangjan; Phinyarat Saensupa; Wassana Kamopas; Nuttapol Noirungsee; Jeeraporn Pekkoh; Khomsan Ruangrit</w:t>
      </w:r>
    </w:p>
    <w:p>
      <w:r>
        <w:rPr>
          <w:rFonts w:ascii="Microsoft YaHei" w:hAnsi="Microsoft YaHei" w:eastAsia="Microsoft YaHei"/>
          <w:color w:val="55697D"/>
          <w:sz w:val="18"/>
        </w:rPr>
        <w:t>期刊：Bioresource Technology Reports</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DOI：10.1016/j.biteb.2026.102900</w:t>
      </w:r>
    </w:p>
    <w:p>
      <w:r>
        <w:rPr>
          <w:rFonts w:ascii="Microsoft YaHei" w:hAnsi="Microsoft YaHei" w:eastAsia="Microsoft YaHei"/>
          <w:b/>
          <w:sz w:val="19"/>
        </w:rPr>
        <w:t>关键词：ocean biogeochemistry</w:t>
      </w:r>
    </w:p>
    <w:p>
      <w:r>
        <w:rPr>
          <w:rFonts w:ascii="Microsoft YaHei" w:hAnsi="Microsoft YaHei" w:eastAsia="Microsoft YaHei"/>
          <w:sz w:val="17"/>
        </w:rPr>
        <w:t>摘要：Crossref 未提供该 DOI 的摘要。</w:t>
      </w:r>
    </w:p>
    <w:p>
      <w:r>
        <w:rPr>
          <w:rFonts w:ascii="Microsoft YaHei" w:hAnsi="Microsoft YaHei" w:eastAsia="Microsoft YaHei"/>
          <w:color w:val="0563C1"/>
          <w:sz w:val="18"/>
        </w:rPr>
        <w:t>链接：https://doi.org/10.1016/j.biteb.2026.102900</w:t>
      </w:r>
    </w:p>
    <w:p>
      <w:pPr>
        <w:pStyle w:val="Heading3"/>
      </w:pPr>
      <w:r>
        <w:rPr>
          <w:rFonts w:ascii="Microsoft YaHei" w:hAnsi="Microsoft YaHei" w:eastAsia="Microsoft YaHei"/>
          <w:b/>
        </w:rPr>
        <w:t>6. Assessment of green space and urban temperature changes in the Marikina River Basin using remote sensing</w:t>
      </w:r>
    </w:p>
    <w:p>
      <w:r>
        <w:rPr>
          <w:rFonts w:ascii="Microsoft YaHei" w:hAnsi="Microsoft YaHei" w:eastAsia="Microsoft YaHei"/>
          <w:color w:val="55697D"/>
          <w:sz w:val="18"/>
        </w:rPr>
        <w:t>作者：Ralph Christian Montoya; Jan Joseph Dida</w:t>
      </w:r>
    </w:p>
    <w:p>
      <w:r>
        <w:rPr>
          <w:rFonts w:ascii="Microsoft YaHei" w:hAnsi="Microsoft YaHei" w:eastAsia="Microsoft YaHei"/>
          <w:color w:val="55697D"/>
          <w:sz w:val="18"/>
        </w:rPr>
        <w:t>期刊：Ecosystems and Development Journal</w:t>
      </w:r>
    </w:p>
    <w:p>
      <w:r>
        <w:rPr>
          <w:rFonts w:ascii="Microsoft YaHei" w:hAnsi="Microsoft YaHei" w:eastAsia="Microsoft YaHei"/>
          <w:color w:val="55697D"/>
          <w:sz w:val="18"/>
        </w:rPr>
        <w:t>发表月份：2024-12</w:t>
      </w:r>
    </w:p>
    <w:p>
      <w:r>
        <w:rPr>
          <w:rFonts w:ascii="Microsoft YaHei" w:hAnsi="Microsoft YaHei" w:eastAsia="Microsoft YaHei"/>
          <w:color w:val="55697D"/>
          <w:sz w:val="18"/>
        </w:rPr>
        <w:t>DOI：10.65355/awlj9021</w:t>
      </w:r>
    </w:p>
    <w:p>
      <w:r>
        <w:rPr>
          <w:rFonts w:ascii="Microsoft YaHei" w:hAnsi="Microsoft YaHei" w:eastAsia="Microsoft YaHei"/>
          <w:b/>
          <w:sz w:val="19"/>
        </w:rPr>
        <w:t>关键词：ocean colour</w:t>
      </w:r>
    </w:p>
    <w:p>
      <w:r>
        <w:rPr>
          <w:rFonts w:ascii="Microsoft YaHei" w:hAnsi="Microsoft YaHei" w:eastAsia="Microsoft YaHei"/>
          <w:sz w:val="17"/>
        </w:rPr>
        <w:t>摘要：统计数据显示菲律宾城市人口持续增长。城市化过程涉及改变景观和取代植被，从而提高城市温度；因此，由于马里基纳河流域靠近马尼拉大都会，因此有必要对其进行研究。该研究利用陆地卫星数据生成地表温度（LST）和归一化植被指数（NDVI），并分析马里基纳河流域城市温度与植被覆盖之间的相关性。结果显示马里基纳河流域内的城市温度和植被覆盖发生显着变化。此外，研究结果表明城市温度与该地区的植被覆盖之间存在相关性。此类研究可以为缓解城市热岛效应的潜在解决方案提供有价值的见解。</w:t>
      </w:r>
    </w:p>
    <w:p>
      <w:r>
        <w:rPr>
          <w:rFonts w:ascii="Microsoft YaHei" w:hAnsi="Microsoft YaHei" w:eastAsia="Microsoft YaHei"/>
          <w:color w:val="0563C1"/>
          <w:sz w:val="18"/>
        </w:rPr>
        <w:t>链接：https://doi.org/10.65355/awlj9021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