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7324D"/>
          <w:sz w:val="44"/>
        </w:rPr>
        <w:t>每日论文推送</w:t>
      </w:r>
    </w:p>
    <w:p>
      <w:pPr>
        <w:jc w:val="center"/>
      </w:pPr>
      <w:r>
        <w:rPr>
          <w:rFonts w:ascii="Microsoft YaHei" w:hAnsi="Microsoft YaHei" w:eastAsia="Microsoft YaHei"/>
          <w:color w:val="55697D"/>
          <w:sz w:val="19"/>
        </w:rPr>
        <w:t>检索日期：2026-09-24 | GitHub Actions 自动生成</w:t>
      </w:r>
    </w:p>
    <w:p>
      <w:pPr>
        <w:pStyle w:val="Heading1"/>
      </w:pPr>
      <w:r>
        <w:t>今日总览</w:t>
      </w:r>
    </w:p>
    <w:p>
      <w:r>
        <w:rPr>
          <w:rFonts w:ascii="Microsoft YaHei" w:hAnsi="Microsoft YaHei" w:eastAsia="Microsoft YaHei"/>
        </w:rPr>
        <w:t>历史去重后今日新增 6 篇。排序规则：Nature 系列、Science 系列、其余重点期刊、重点关注团队、其他相关补充论文。</w:t>
      </w:r>
    </w:p>
    <w:p>
      <w:pPr>
        <w:pStyle w:val="Heading1"/>
      </w:pPr>
      <w:r>
        <w:t>论文速读</w:t>
      </w:r>
    </w:p>
    <w:p>
      <w:pPr>
        <w:pStyle w:val="Heading2"/>
      </w:pPr>
      <w:r>
        <w:t>重点期刊：按影响力和相关性排序</w:t>
      </w:r>
    </w:p>
    <w:p>
      <w:pPr>
        <w:pStyle w:val="Heading3"/>
      </w:pPr>
      <w:r>
        <w:rPr>
          <w:rFonts w:ascii="Microsoft YaHei" w:hAnsi="Microsoft YaHei" w:eastAsia="Microsoft YaHei"/>
          <w:b/>
        </w:rPr>
        <w:t>1. Particle Interceptor Trap Deployments Demonstrate Enhanced Export Driven by Frontal Dynamics in the Chukchi Sea</w:t>
      </w:r>
    </w:p>
    <w:p>
      <w:r>
        <w:rPr>
          <w:rFonts w:ascii="Microsoft YaHei" w:hAnsi="Microsoft YaHei" w:eastAsia="Microsoft YaHei"/>
          <w:color w:val="55697D"/>
          <w:sz w:val="18"/>
        </w:rPr>
        <w:t>作者：James A. Lauer; Gert L. van Dijken; Matthew M. Mills; Robert S. Pickart; Lexi Arlen; Stephanie M. Lim; Ethan Li; Courtney M. Payne; et al.</w:t>
      </w:r>
    </w:p>
    <w:p>
      <w:r>
        <w:rPr>
          <w:rFonts w:ascii="Microsoft YaHei" w:hAnsi="Microsoft YaHei" w:eastAsia="Microsoft YaHei"/>
          <w:color w:val="55697D"/>
          <w:sz w:val="18"/>
        </w:rPr>
        <w:t>期刊：Journal of Geophysical Research: Oceans</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DOI：10.1029/2025jc023507</w:t>
      </w:r>
    </w:p>
    <w:p>
      <w:r>
        <w:rPr>
          <w:rFonts w:ascii="Microsoft YaHei" w:hAnsi="Microsoft YaHei" w:eastAsia="Microsoft YaHei"/>
          <w:b/>
          <w:sz w:val="19"/>
        </w:rPr>
        <w:t>关键词：carbon pump; phytoplankton</w:t>
      </w:r>
    </w:p>
    <w:p>
      <w:r>
        <w:rPr>
          <w:rFonts w:ascii="Microsoft YaHei" w:hAnsi="Microsoft YaHei" w:eastAsia="Microsoft YaHei"/>
          <w:sz w:val="17"/>
        </w:rPr>
        <w:t>摘要：楚科奇海的冰下浮游植物大量繁殖是全球观察到的最密集的区域之一，与海冰微藻和开放水域浮游植物大量繁殖一起，使该地区成为北冰洋生产力最高的地区之一。为了更好地了解影响这些水华捕获的有机物质输出的因素，在 2023 年 6 月至 7 月的“三个系统的故事”巡航期间，在楚科奇海东北部部署了自由漂流和冰系颗粒拦截器陷阱阵列。测量了叶绿素 a (Chl a)、颗粒有机碳 (POC) 和颗粒氮 (PN) 的输出通量以及收集的物质的分类组成、水文学数据和沉积物数据。 在研究区域的北部观察到密集的冰下浮游植物水华，并且在整个采样期间，冰边缘主要由持续的地带性水团锋线决定。在锋面之外，叶绿素 a 和 POC 通量与水柱生物量密切相关，在固结海冰下方观察到最高的输出通量。相比之下，在前缘内，由斜压不稳定性驱动的俯冲极大地增强了输出。在前线以南，开放水域的生物量和出口率较低，这可能是由于早期浮游植物大量繁殖造成的营养耗尽。这些发现表明，密集的浮游植物群的物理俯冲可能导致楚科奇海浅陆架上极高的颗粒输出通量。</w:t>
      </w:r>
    </w:p>
    <w:p>
      <w:r>
        <w:rPr>
          <w:rFonts w:ascii="Microsoft YaHei" w:hAnsi="Microsoft YaHei" w:eastAsia="Microsoft YaHei"/>
          <w:color w:val="0563C1"/>
          <w:sz w:val="18"/>
        </w:rPr>
        <w:t>链接：https://doi.org/10.1029/2025jc023507</w:t>
      </w:r>
    </w:p>
    <w:p>
      <w:pPr>
        <w:pStyle w:val="Heading3"/>
      </w:pPr>
      <w:r>
        <w:rPr>
          <w:rFonts w:ascii="Microsoft YaHei" w:hAnsi="Microsoft YaHei" w:eastAsia="Microsoft YaHei"/>
          <w:b/>
        </w:rPr>
        <w:t>2. Evolution of an Extensive Under‐Ice Phytoplankton Bloom in the Chukchi Sea</w:t>
      </w:r>
    </w:p>
    <w:p>
      <w:r>
        <w:rPr>
          <w:rFonts w:ascii="Microsoft YaHei" w:hAnsi="Microsoft YaHei" w:eastAsia="Microsoft YaHei"/>
          <w:color w:val="55697D"/>
          <w:sz w:val="18"/>
        </w:rPr>
        <w:t>作者：Claudette Proctor; Matthew M. Mills; Gert L. van Dijken; James A. Lauer; Stephanie M. Lim; Ali Palm; Courtney M. Payne; Robert S. Pickart; et al.</w:t>
      </w:r>
    </w:p>
    <w:p>
      <w:r>
        <w:rPr>
          <w:rFonts w:ascii="Microsoft YaHei" w:hAnsi="Microsoft YaHei" w:eastAsia="Microsoft YaHei"/>
          <w:color w:val="55697D"/>
          <w:sz w:val="18"/>
        </w:rPr>
        <w:t>期刊：Journal of Geophysical Research: Oceans</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DOI：10.1029/2025jc023528</w:t>
      </w:r>
    </w:p>
    <w:p>
      <w:r>
        <w:rPr>
          <w:rFonts w:ascii="Microsoft YaHei" w:hAnsi="Microsoft YaHei" w:eastAsia="Microsoft YaHei"/>
          <w:b/>
          <w:sz w:val="19"/>
        </w:rPr>
        <w:t>关键词：phytoplankton</w:t>
      </w:r>
    </w:p>
    <w:p>
      <w:r>
        <w:rPr>
          <w:rFonts w:ascii="Microsoft YaHei" w:hAnsi="Microsoft YaHei" w:eastAsia="Microsoft YaHei"/>
          <w:sz w:val="17"/>
        </w:rPr>
        <w:t>摘要：近几十年来，有证据表明浮游植物在北极海冰下生长，在某些情况下形成了大规模的水华。观测和预测的冰冻圈变化凸显了更好地了解冰下水华的发展和进展的必要性。 2023 年 6 月和 7 月期间，作为三个系统故事 (ToTS) 实地计划的一部分，我们描述了导致楚科奇海冰下浮游植物大量繁殖的起始、高峰和衰退的环境条件。通过在大约 6 周的时间内对两条样线进行 7-8 次采样，我们能够描述水文学、养分分布和浮游植物生物量的空间和时间模式，从而能够对普遍未充分研究的现象进行彻底分析。 沿着两条横断面，固结海冰下的浮游植物生物量（最大 661 mg Chl a m -2 ）比开放水域中的浮游植物生物量（114 ± 135 mg Chl a m -2 ）高出五倍。硝酸盐（NO 3 - ）是限制养分和水华程度的控制因素。冰下环境还表现出比开放水域更大的地表水 NO 3 - 消耗和溶解氧 (O 2 ) 过饱和度。水华以海链藻属 (Thalassiosira spp) 为主。 ，一种大型链形成硅藻，表面产生的大部分有机物被输出到混合层以下，表明底栖-中上层紧密耦合。在没有广泛的融化池的情况下，铅似乎是减轻浮游植物生长的光限制的最重要因素。因此，日益动态的冰袋可能会对浮游植物和更广泛的生态系统产生重要影响。</w:t>
      </w:r>
    </w:p>
    <w:p>
      <w:r>
        <w:rPr>
          <w:rFonts w:ascii="Microsoft YaHei" w:hAnsi="Microsoft YaHei" w:eastAsia="Microsoft YaHei"/>
          <w:color w:val="0563C1"/>
          <w:sz w:val="18"/>
        </w:rPr>
        <w:t>链接：https://doi.org/10.1029/2025jc023528</w:t>
      </w:r>
    </w:p>
    <w:p>
      <w:pPr>
        <w:pStyle w:val="Heading3"/>
      </w:pPr>
      <w:r>
        <w:rPr>
          <w:rFonts w:ascii="Microsoft YaHei" w:hAnsi="Microsoft YaHei" w:eastAsia="Microsoft YaHei"/>
          <w:b/>
        </w:rPr>
        <w:t>3. Vertical structures of marine heatwaves and their impacts on primary production in the South China Sea</w:t>
      </w:r>
    </w:p>
    <w:p>
      <w:r>
        <w:rPr>
          <w:rFonts w:ascii="Microsoft YaHei" w:hAnsi="Microsoft YaHei" w:eastAsia="Microsoft YaHei"/>
          <w:color w:val="55697D"/>
          <w:sz w:val="18"/>
        </w:rPr>
        <w:t>作者：Jingjing Zheng; Peng Xiu; Lili Zeng; Guimei Liu; Xueming Zhu; Shan Gao; Xuanliang Ji; Zhijie Li</w:t>
      </w:r>
    </w:p>
    <w:p>
      <w:r>
        <w:rPr>
          <w:rFonts w:ascii="Microsoft YaHei" w:hAnsi="Microsoft YaHei" w:eastAsia="Microsoft YaHei"/>
          <w:color w:val="55697D"/>
          <w:sz w:val="18"/>
        </w:rPr>
        <w:t>期刊：Limnology and Oceanography</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DOI：10.1002/lno.70511</w:t>
      </w:r>
    </w:p>
    <w:p>
      <w:r>
        <w:rPr>
          <w:rFonts w:ascii="Microsoft YaHei" w:hAnsi="Microsoft YaHei" w:eastAsia="Microsoft YaHei"/>
          <w:b/>
          <w:sz w:val="19"/>
        </w:rPr>
        <w:t>关键词：marine heatwaves; vertical structure</w:t>
      </w:r>
    </w:p>
    <w:p>
      <w:r>
        <w:rPr>
          <w:rFonts w:ascii="Microsoft YaHei" w:hAnsi="Microsoft YaHei" w:eastAsia="Microsoft YaHei"/>
          <w:sz w:val="17"/>
        </w:rPr>
        <w:t>摘要：海洋热浪（MHW）是一种极端温水事件，会强烈扰乱海洋生态系统。尽管已知MHW会延伸到地下和深水区，但它们的垂直结构和生物地球化学后果仍然很难量化。在这里，我们使用物理生物地球化学模型来描述南海（SCS）MHW的垂直结构，并评估其对初级生产（PP）的影响。确定了四种不同类型的 MHW 垂直结构（浅层、次反转、次强化和深层 MHW）。深层 MHW 是最常见的，占事件的近 50%。浅层和次反转的MHW通常是短暂的并且局限于上层海洋，而次强化和深层的MHW持续时间更长并且渗透得更深。 热收支分析表明，海气热通量主要驱动浅层、次反转和深层MHW的形成，而垂直过程则主导次强化MHW的维持。不同的 MHW 结构改变了垂直分层和养分输送，在混合层和透光区产生空间和垂直异质 PP 响应。过去二十年来，四种MHW类型的发生面积、持续时间和总强度均显着增加，而相关的PP异常则呈现下降趋势。这种下降主要归因于混合层分层的加强和混合层聚丙烯的减少，而地下过程对长期趋势的贡献很小。</w:t>
      </w:r>
    </w:p>
    <w:p>
      <w:r>
        <w:rPr>
          <w:rFonts w:ascii="Microsoft YaHei" w:hAnsi="Microsoft YaHei" w:eastAsia="Microsoft YaHei"/>
          <w:color w:val="0563C1"/>
          <w:sz w:val="18"/>
        </w:rPr>
        <w:t>链接：https://doi.org/10.1002/lno.70511</w:t>
      </w:r>
    </w:p>
    <w:p>
      <w:pPr>
        <w:pStyle w:val="Heading3"/>
      </w:pPr>
      <w:r>
        <w:rPr>
          <w:rFonts w:ascii="Microsoft YaHei" w:hAnsi="Microsoft YaHei" w:eastAsia="Microsoft YaHei"/>
          <w:b/>
        </w:rPr>
        <w:t>4. High-frequency observations of the variations of pCO2 in the Bohai Sea</w:t>
      </w:r>
    </w:p>
    <w:p>
      <w:r>
        <w:rPr>
          <w:rFonts w:ascii="Microsoft YaHei" w:hAnsi="Microsoft YaHei" w:eastAsia="Microsoft YaHei"/>
          <w:color w:val="55697D"/>
          <w:sz w:val="18"/>
        </w:rPr>
        <w:t>作者：Fan Jiang; Bo Yu; Jie Shang; Ruidi Ma; Chenxu Wang; Yongzhi Liu; Xiaofei Liu; Song Gao</w:t>
      </w:r>
    </w:p>
    <w:p>
      <w:r>
        <w:rPr>
          <w:rFonts w:ascii="Microsoft YaHei" w:hAnsi="Microsoft YaHei" w:eastAsia="Microsoft YaHei"/>
          <w:color w:val="55697D"/>
          <w:sz w:val="18"/>
        </w:rPr>
        <w:t>期刊：Frontiers in Marine Science</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DOI：10.3389/fmars.2026.1883447</w:t>
      </w:r>
    </w:p>
    <w:p>
      <w:r>
        <w:rPr>
          <w:rFonts w:ascii="Microsoft YaHei" w:hAnsi="Microsoft YaHei" w:eastAsia="Microsoft YaHei"/>
          <w:b/>
          <w:sz w:val="19"/>
        </w:rPr>
        <w:t>关键词：phytoplankton; vertical structure</w:t>
      </w:r>
    </w:p>
    <w:p>
      <w:r>
        <w:rPr>
          <w:rFonts w:ascii="Microsoft YaHei" w:hAnsi="Microsoft YaHei" w:eastAsia="Microsoft YaHei"/>
          <w:sz w:val="17"/>
        </w:rPr>
        <w:t>摘要：渤海是一个承受着强烈人为压力的半封闭边缘海，是区域碳循环的关键但动态的组成部分。然而，由于缺乏长期、高频的观测，对其精细碳动力学的理解受到了限制。本研究于2020年9月至2021年12月在渤海中部部署了一个系泊浮标系统，以获得表层海水p CO 2 和关键辅助环境参数的连续、高时间分辨率测量。年度逐步线性回归模型 (R 2 = 0. 793, p&lt; 0. 001) 显示 p CO 2 变异性受生物下降（叶绿素 a 浓度，16. 76% 相对贡献）和热强迫（SST，27. 69%）之间的平衡控制。季节亚回归显示了系统性转变：生物防治在秋季和夏季盛行（R 2 = 0. 922），物理控制在冬季占主导地位（R 2 = 0. 787），春季表现出较低的可预测性（R 2 = 0. 318），这意味着未测量的过程，例如垂直混合。对八个独立风暴事件进行的事件规模综合分析确定了明显的两相 p CO 2 响应：由于溶解度增强，风峰初始下降（从 354. 7 到 333. 7 μatm），随后四天后峰值延迟上升（355. 8 μatm，净增加 22. 1 μatm），同时 SST 冷却 (2. 62 °C) 和 SSS 增加 (0. 08 psu），与假设的富含碳的地下水的风驱动夹带一致。海气CO 2 通量回归证实p CO 2 梯度是根本驱动因素。 这些发现为渤海中部的碳汇动态建立了一个机制框架，表明高频自主观测对于捕获控制沿海碳循环的事件规模过程至关重要，这是传统船载调查和卫星检索无法获得的见解。</w:t>
      </w:r>
    </w:p>
    <w:p>
      <w:r>
        <w:rPr>
          <w:rFonts w:ascii="Microsoft YaHei" w:hAnsi="Microsoft YaHei" w:eastAsia="Microsoft YaHei"/>
          <w:color w:val="0563C1"/>
          <w:sz w:val="18"/>
        </w:rPr>
        <w:t>链接：https://doi.org/10.3389/fmars.2026.1883447</w:t>
      </w:r>
    </w:p>
    <w:p>
      <w:pPr>
        <w:pStyle w:val="Heading2"/>
      </w:pPr>
      <w:r>
        <w:t>重点关注团队</w:t>
      </w:r>
    </w:p>
    <w:p>
      <w:pPr>
        <w:pStyle w:val="Heading3"/>
      </w:pPr>
      <w:r>
        <w:rPr>
          <w:rFonts w:ascii="Microsoft YaHei" w:hAnsi="Microsoft YaHei" w:eastAsia="Microsoft YaHei"/>
          <w:b/>
        </w:rPr>
        <w:t>5. Divergent Responses of Marine Heatwaves to Multiple Typhoons in the Nearshore South China Sea</w:t>
      </w:r>
    </w:p>
    <w:p>
      <w:r>
        <w:rPr>
          <w:rFonts w:ascii="Microsoft YaHei" w:hAnsi="Microsoft YaHei" w:eastAsia="Microsoft YaHei"/>
          <w:color w:val="55697D"/>
          <w:sz w:val="18"/>
        </w:rPr>
        <w:t>作者：Zhouhong Liu; Xiaoting Zheng; Yuexin Luo; Shukui Cheng; Anzhou Cao; Zhongkuo Zhao; Xinyu Guo; Jinbao Song</w:t>
      </w:r>
    </w:p>
    <w:p>
      <w:r>
        <w:rPr>
          <w:rFonts w:ascii="Microsoft YaHei" w:hAnsi="Microsoft YaHei" w:eastAsia="Microsoft YaHei"/>
          <w:color w:val="55697D"/>
          <w:sz w:val="18"/>
        </w:rPr>
        <w:t>期刊：Estuarine, Coastal and Shelf Science</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DOI：10.1016/j.ecss.2026.110279</w:t>
      </w:r>
    </w:p>
    <w:p>
      <w:r>
        <w:rPr>
          <w:rFonts w:ascii="Microsoft YaHei" w:hAnsi="Microsoft YaHei" w:eastAsia="Microsoft YaHei"/>
          <w:b/>
          <w:sz w:val="19"/>
        </w:rPr>
        <w:t>关键词：marine heatwaves</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链接：https://doi.org/10.1016/j.ecss.2026.110279</w:t>
      </w:r>
    </w:p>
    <w:p>
      <w:pPr>
        <w:pStyle w:val="Heading3"/>
      </w:pPr>
      <w:r>
        <w:rPr>
          <w:rFonts w:ascii="Microsoft YaHei" w:hAnsi="Microsoft YaHei" w:eastAsia="Microsoft YaHei"/>
          <w:b/>
        </w:rPr>
        <w:t>6. Quantitative evaluation of mesoscale eddies in the North Atlantic using satellite altimetry and ocean reanalyses</w:t>
      </w:r>
    </w:p>
    <w:p>
      <w:r>
        <w:rPr>
          <w:rFonts w:ascii="Microsoft YaHei" w:hAnsi="Microsoft YaHei" w:eastAsia="Microsoft YaHei"/>
          <w:color w:val="55697D"/>
          <w:sz w:val="18"/>
        </w:rPr>
        <w:t>作者：Paolo Mauriello; Gregory C. Smith; Andrea Storto; Chunxue Yang</w:t>
      </w:r>
    </w:p>
    <w:p>
      <w:r>
        <w:rPr>
          <w:rFonts w:ascii="Microsoft YaHei" w:hAnsi="Microsoft YaHei" w:eastAsia="Microsoft YaHei"/>
          <w:color w:val="55697D"/>
          <w:sz w:val="18"/>
        </w:rPr>
        <w:t>期刊：Ocean Science</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DOI：10.5194/os-22-2863-2026</w:t>
      </w:r>
    </w:p>
    <w:p>
      <w:r>
        <w:rPr>
          <w:rFonts w:ascii="Microsoft YaHei" w:hAnsi="Microsoft YaHei" w:eastAsia="Microsoft YaHei"/>
          <w:b/>
          <w:sz w:val="19"/>
        </w:rPr>
        <w:t>关键词：ocean biogeochemistry</w:t>
      </w:r>
    </w:p>
    <w:p>
      <w:r>
        <w:rPr>
          <w:rFonts w:ascii="Microsoft YaHei" w:hAnsi="Microsoft YaHei" w:eastAsia="Microsoft YaHei"/>
          <w:sz w:val="17"/>
        </w:rPr>
        <w:t>摘要：海洋中尺度涡流（10-250公里）在传输热量、动量和营养物质方面发挥着关键作用。鉴于海洋再分析因其时间和空间一致的覆盖范围而广泛应用于海洋和气候研究，准确评估它们在海洋再分析中的代表性变得非常重要。本研究旨在根据卫星测高观测评估哥白尼海洋服务处提供的两种全球海洋再分析产品 GLORYS12V1（1/12° 分辨率）和 GLORYS2V4（1/4° 分辨率）。我们使用了AVISO DUACS（1/8°）和SWOT MIOST Science产品（1/8°）作为参考数据集，使我们能够更好地了解高分辨率测高数据的优势，并对涡分辨海洋再分析（1/12°）进行公正的评估。 该评估方法基于基于特征的涡流验证方法，使用成本函数度量来比较涡流特性，例如振幅、半径和质心位置。然后使用检测概率 (POD) 和误报率 (FAR) 来量化再分析技能。 GLORYS12V1 表现出比 GLORYS2V4 更好的观测结果一致性，特别是对于振幅 &gt; 10 cm 的涡流。对于 AVISO DUACS 1/8° 和 SWOT MIOST Science，从 GLORYS2V4 移动到 GLORYS12V1 时，POD 增加了 30% 以上，而 FAR 增加了约 22%–26%，这主要是由于检测到了更多的小涡流。对于匹配涡流，GLORYS12V1 的两种卫星产品的匹配成本均低于 GLORYS2V4，降低约 26%。 振幅、半径和质心距离的平均误差分别减少了约 35%、32% 和 13%。 GLORYS12V1 的 POD 值在两个参考文献中均达到约 62%，而 GLORYS2V4 的 POD 值约为 46%。 FAR 范围从 GLORYS2V4 的大约 18% 到 GLORYS12V1 的 24%。结果强调了高模型分辨率对于海洋再分析中中尺度涡流表示的附加价值，并强调了宽测带测高对于北大西洋等地区模型验证的价值。</w:t>
      </w:r>
    </w:p>
    <w:p>
      <w:r>
        <w:rPr>
          <w:rFonts w:ascii="Microsoft YaHei" w:hAnsi="Microsoft YaHei" w:eastAsia="Microsoft YaHei"/>
          <w:color w:val="0563C1"/>
          <w:sz w:val="18"/>
        </w:rPr>
        <w:t>链接：https://doi.org/10.5194/os-22-2863-2026</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