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检索日期：2026-05-29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2 篇。排序规则：Nature 系列、Science 系列、其余重点期刊按影响力和主题相关性排序。</w:t>
      </w:r>
    </w:p>
    <w:p>
      <w:pPr>
        <w:pStyle w:val="Heading1"/>
      </w:pPr>
      <w:r>
        <w:t>论文速读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New Eocene organic-walled phytoplankton taxa from the Norwegian North Sea, and their regional biostratigraphical application</w:t>
      </w:r>
    </w:p>
    <w:p>
      <w:r>
        <w:rPr>
          <w:rFonts w:ascii="Microsoft YaHei" w:hAnsi="Microsoft YaHei" w:eastAsia="Microsoft YaHei"/>
          <w:color w:val="55697D"/>
          <w:sz w:val="18"/>
        </w:rPr>
        <w:t>作者：Paul Dodsworth; Manuel Vieira; Salih Mahdi</w:t>
      </w:r>
    </w:p>
    <w:p>
      <w:r>
        <w:rPr>
          <w:rFonts w:ascii="Microsoft YaHei" w:hAnsi="Microsoft YaHei" w:eastAsia="Microsoft YaHei"/>
          <w:color w:val="55697D"/>
          <w:sz w:val="18"/>
        </w:rPr>
        <w:t>期刊：Palynology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发表月份：2026-05</w:t>
      </w:r>
    </w:p>
    <w:p>
      <w:r>
        <w:rPr>
          <w:rFonts w:ascii="Microsoft YaHei" w:hAnsi="Microsoft YaHei" w:eastAsia="Microsoft YaHei"/>
          <w:color w:val="55697D"/>
          <w:sz w:val="18"/>
        </w:rPr>
        <w:t>DOI：10.1080/01916122.2026.2671745</w:t>
      </w:r>
    </w:p>
    <w:p>
      <w:r>
        <w:rPr>
          <w:rFonts w:ascii="Microsoft YaHei" w:hAnsi="Microsoft YaHei" w:eastAsia="Microsoft YaHei"/>
          <w:b/>
          <w:sz w:val="19"/>
        </w:rPr>
        <w:t>关键词：phytoplankton; absorption</w:t>
      </w:r>
    </w:p>
    <w:p>
      <w:r>
        <w:rPr>
          <w:rFonts w:ascii="Microsoft YaHei" w:hAnsi="Microsoft YaHei" w:eastAsia="Microsoft YaHei"/>
        </w:rPr>
        <w:t>这项研究关注海洋生物光学和海洋光学参数、方法与应用。 数据或方法上围绕沉积物捕获器、原位光学、生物光学参数或光谱观测展开。 研究主要分析变化趋势、事件响应、驱动机制或方法表现，并把观测结果与生态和生物地球化学过程联系起来。 核心结果或实现为该主题提供了新的观测约束、方法基准或过程解释。 它有助于解释观测现象、比较方法差异，并为后续海洋生物地球化学分析提供线索。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链接：https://doi.org/10.1080/01916122.2026.2671745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Comparing DNA metabarcoding with light microscopy to identify eukaryotic phytoplankton in the Baltic Sea, Kattegat and Skagerrak</w:t>
      </w:r>
    </w:p>
    <w:p>
      <w:r>
        <w:rPr>
          <w:rFonts w:ascii="Microsoft YaHei" w:hAnsi="Microsoft YaHei" w:eastAsia="Microsoft YaHei"/>
          <w:color w:val="55697D"/>
          <w:sz w:val="18"/>
        </w:rPr>
        <w:t>作者：Anders Torstensson; Sonia Brugel; Anders F. Andersson; Mikael Hedblom; Krzysztof T. Jurdzinski; Bengt Karlson; Meike A. C. Latz; Markus Lindh;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期刊：Scientific Reports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发表月份：2026-05</w:t>
      </w:r>
    </w:p>
    <w:p>
      <w:r>
        <w:rPr>
          <w:rFonts w:ascii="Microsoft YaHei" w:hAnsi="Microsoft YaHei" w:eastAsia="Microsoft YaHei"/>
          <w:color w:val="55697D"/>
          <w:sz w:val="18"/>
        </w:rPr>
        <w:t>DOI：10.1038/s41598-026-48838-z</w:t>
      </w:r>
    </w:p>
    <w:p>
      <w:r>
        <w:rPr>
          <w:rFonts w:ascii="Microsoft YaHei" w:hAnsi="Microsoft YaHei" w:eastAsia="Microsoft YaHei"/>
          <w:b/>
          <w:sz w:val="19"/>
        </w:rPr>
        <w:t>关键词：phytoplankton; absorption; microbial carbon</w:t>
      </w:r>
    </w:p>
    <w:p>
      <w:r>
        <w:rPr>
          <w:rFonts w:ascii="Microsoft YaHei" w:hAnsi="Microsoft YaHei" w:eastAsia="Microsoft YaHei"/>
        </w:rPr>
        <w:t>这项研究关注海洋生物光学和海洋光学参数、方法与应用。 数据或方法上围绕沉积物捕获器、原位光学、生物光学参数或光谱观测展开。 研究主要分析变化趋势、事件响应、驱动机制或方法表现，并把观测结果与生态和生物地球化学过程联系起来。 核心结果或实现为该主题提供了新的观测约束、方法基准或过程解释。 它有助于解释观测现象、比较方法差异，并为后续海洋生物地球化学分析提供线索。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链接：https://doi.org/10.1038/s41598-026-48838-z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