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检索日期：2026-06-05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1 篇。排序规则：Nature 系列、Science 系列、其余重点期刊按影响力和主题相关性排序。</w:t>
      </w:r>
    </w:p>
    <w:p>
      <w:pPr>
        <w:pStyle w:val="Heading1"/>
      </w:pPr>
      <w:r>
        <w:t>论文速读</w:t>
      </w:r>
    </w:p>
    <w:p>
      <w:pPr>
        <w:pStyle w:val="Heading2"/>
      </w:pPr>
      <w:r>
        <w:t>重点期刊：按影响力和相关性排序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Trace Metal Biogeochemistry in the Nordic Seas: Arctic and Atlantic Water Inflows Determine (Micro)Nutrient Availability</w:t>
      </w:r>
    </w:p>
    <w:p>
      <w:r>
        <w:rPr>
          <w:rFonts w:ascii="Microsoft YaHei" w:hAnsi="Microsoft YaHei" w:eastAsia="Microsoft YaHei"/>
          <w:color w:val="55697D"/>
          <w:sz w:val="18"/>
        </w:rPr>
        <w:t>作者：Yaqing Ruan; Stephan Krisch; Thomas J. Browning; C. Mark Moore; Mario Esposito; Tim Steffens; Eric P. Achterberg</w:t>
      </w:r>
    </w:p>
    <w:p>
      <w:r>
        <w:rPr>
          <w:rFonts w:ascii="Microsoft YaHei" w:hAnsi="Microsoft YaHei" w:eastAsia="Microsoft YaHei"/>
          <w:color w:val="55697D"/>
          <w:sz w:val="18"/>
        </w:rPr>
        <w:t>期刊：Global Biogeochemical Cycles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发表月份：2026-06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DOI：10.1029/2025gb008954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</w:rPr>
        <w:t>这项研究关注浮游植物群落、生理状态和生产力变化。 研究结合观测、模型或实验结果来刻画海洋生态和生物地球化学过程。 研究主要分析变化趋势、事件响应、驱动机制或方法表现，并把观测结果与生态和生物地球化学过程联系起来。 核心结果或实现为该主题提供了新的观测约束、方法基准或过程解释。 它有助于解释观测现象、比较方法差异，并为后续海洋生物地球化学分析提供线索。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链接：https://doi.org/10.1029/2025gb008954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