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检索日期：2026-08-17 | GitHub Actions 自动生成</w:t>
      </w:r>
    </w:p>
    <w:p>
      <w:pPr>
        <w:pStyle w:val="Heading1"/>
      </w:pPr>
      <w:r>
        <w:t>今日总览</w:t>
      </w:r>
    </w:p>
    <w:p>
      <w:r>
        <w:rPr>
          <w:rFonts w:ascii="Microsoft YaHei" w:hAnsi="Microsoft YaHei" w:eastAsia="Microsoft YaHei"/>
        </w:rPr>
        <w:t>历史去重后今日新增 2 篇。排序规则：Nature 系列、Science 系列、其余重点期刊、重点关注团队、其他相关补充论文。</w:t>
      </w:r>
    </w:p>
    <w:p>
      <w:pPr>
        <w:pStyle w:val="Heading1"/>
      </w:pPr>
      <w:r>
        <w:t>论文速读</w:t>
      </w:r>
    </w:p>
    <w:p>
      <w:pPr>
        <w:pStyle w:val="Heading2"/>
      </w:pPr>
      <w:r>
        <w:t>重点关注团队</w:t>
      </w:r>
    </w:p>
    <w:p>
      <w:pPr>
        <w:pStyle w:val="Heading3"/>
      </w:pPr>
      <w:r>
        <w:rPr>
          <w:rFonts w:ascii="Microsoft YaHei" w:hAnsi="Microsoft YaHei" w:eastAsia="Microsoft YaHei"/>
          <w:b/>
        </w:rPr>
        <w:t>1. Intraseasonal variability and eddy-induced structural modulation of the North Pacific intermediate water revealed by multi-mooring observations</w:t>
      </w:r>
    </w:p>
    <w:p>
      <w:r>
        <w:rPr>
          <w:rFonts w:ascii="Microsoft YaHei" w:hAnsi="Microsoft YaHei" w:eastAsia="Microsoft YaHei"/>
          <w:color w:val="55697D"/>
          <w:sz w:val="18"/>
        </w:rPr>
        <w:t>作者：Qiang Ren; Yansong Liu; Yansheng Zhang; Shumin Tu; Wei Huang; Feng Nan; Ran Wang; Xinyuan Diao; et al.</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DOI：10.5194/os-22-2449-2026</w:t>
      </w:r>
    </w:p>
    <w:p>
      <w:r>
        <w:rPr>
          <w:rFonts w:ascii="Microsoft YaHei" w:hAnsi="Microsoft YaHei" w:eastAsia="Microsoft YaHei"/>
          <w:b/>
          <w:sz w:val="19"/>
        </w:rPr>
        <w:t>关键词：vertical structure</w:t>
      </w:r>
    </w:p>
    <w:p>
      <w:r>
        <w:rPr>
          <w:rFonts w:ascii="Microsoft YaHei" w:hAnsi="Microsoft YaHei" w:eastAsia="Microsoft YaHei"/>
          <w:sz w:val="17"/>
        </w:rPr>
        <w:t>摘要：北太平洋中层水（NPIW）在调节北太平洋温盐结构和生物地球化学分布方面发挥着重要作用。然而，有限的连续观测阻碍了我们对其短期变异性和对中尺度过程的结构响应的理解。本研究基于北太平洋西部三个地点（M1-M3）一年的系泊观测，研究了 NPIW 的季节内结构变化及其中尺度涡旋的调节。 NPIW 厚度表现出明显的季节内变化，主要周期约为 60-80 天，这在三个系泊地点之间是一致的。 与以往主要关注温度和盐度异常的研究不同，本研究引入NPIW厚度作为结构诊断参数来表征与中尺度变化相关的中间层的垂直压缩和膨胀。结果揭示了 NPIW 厚度与盐度之间存在明显的反比关系，表明反气旋条件通常与较薄且含盐量较高的中间层相关，而气旋条件则对应于较厚且相对较新鲜的层。空间复合分析进一步表明，厚度和盐度响应表现出明显的区域差异，西部边界附近的变异性较强，可能与复杂的水团重新分布和可能的混合过程有关。 这些发现为 NPIW 厚度的季节内变化提供了定量观测证据，并强调了其作为北太平洋中尺度-中层水相互作用的诊断指标的有用性。</w:t>
      </w:r>
    </w:p>
    <w:p>
      <w:r>
        <w:rPr>
          <w:rFonts w:ascii="Microsoft YaHei" w:hAnsi="Microsoft YaHei" w:eastAsia="Microsoft YaHei"/>
          <w:color w:val="0563C1"/>
          <w:sz w:val="18"/>
        </w:rPr>
        <w:t>链接：https://doi.org/10.5194/os-22-2449-2026</w:t>
      </w:r>
    </w:p>
    <w:p>
      <w:pPr>
        <w:pStyle w:val="Heading2"/>
      </w:pPr>
      <w:r>
        <w:t>其他相关期刊：按主题相关性补充</w:t>
      </w:r>
    </w:p>
    <w:p>
      <w:pPr>
        <w:pStyle w:val="Heading3"/>
      </w:pPr>
      <w:r>
        <w:rPr>
          <w:rFonts w:ascii="Microsoft YaHei" w:hAnsi="Microsoft YaHei" w:eastAsia="Microsoft YaHei"/>
          <w:b/>
        </w:rPr>
        <w:t>2. Landsat-Based Monitoring of Mangrove Blue Carbon Supporting Industry 5.0 in Gresik Coastal Area</w:t>
      </w:r>
    </w:p>
    <w:p>
      <w:r>
        <w:rPr>
          <w:rFonts w:ascii="Microsoft YaHei" w:hAnsi="Microsoft YaHei" w:eastAsia="Microsoft YaHei"/>
          <w:color w:val="55697D"/>
          <w:sz w:val="18"/>
        </w:rPr>
        <w:t>作者：Achmad Dadang Burhanuddin; Nur Islakhun Nisa'; Masruhin Masruhin; Riyan Riyadlun Najih</w:t>
      </w:r>
    </w:p>
    <w:p>
      <w:r>
        <w:rPr>
          <w:rFonts w:ascii="Microsoft YaHei" w:hAnsi="Microsoft YaHei" w:eastAsia="Microsoft YaHei"/>
          <w:color w:val="55697D"/>
          <w:sz w:val="18"/>
        </w:rPr>
        <w:t>期刊：International Journal of Multidisciplinary: Applied Business and Education Research</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DOI：10.11594/ijmaber.07.07.30</w:t>
      </w:r>
    </w:p>
    <w:p>
      <w:r>
        <w:rPr>
          <w:rFonts w:ascii="Microsoft YaHei" w:hAnsi="Microsoft YaHei" w:eastAsia="Microsoft YaHei"/>
          <w:b/>
          <w:sz w:val="19"/>
        </w:rPr>
        <w:t>关键词：ocean colour</w:t>
      </w:r>
    </w:p>
    <w:p>
      <w:r>
        <w:rPr>
          <w:rFonts w:ascii="Microsoft YaHei" w:hAnsi="Microsoft YaHei" w:eastAsia="Microsoft YaHei"/>
          <w:sz w:val="17"/>
        </w:rPr>
        <w:t>摘要：红树林生态系统作为蓝碳库发挥着至关重要的作用，同时提供支持沿海环境可持续性的生态服务。然而，沿海地区工业的快速发展给红树林生态系统带来了更大的压力，凸显了高效、数据驱动的环境监测的必要性。本研究旨在利用 Landsat 8/9 卫星图像和归一化植被指数 (NDVI) 估算红树林蓝色碳潜力，以支持印度尼西亚 Gresik 县沿海工业区实施工业 5.0。使用 QGIS 通过 NDVI 计算、土地覆盖分类和基于 NDVI 导出的异速生长方程的地上生物量 (AGB) 估计进行空间分析。三个工业区（工业A、工业B、工业C）作为代表性研究区域进行了分析。 结果显示，行业C的红树林覆盖率最大（26. 30%），其次是行业B（14. 10%）和行业A（8. 77%）。尽管如此，行业 A 表现出最高的 NDVI 值 (0. 41) 和最大的估计蓝碳储量 (60. 31 tC)，其次是行业 C (54. 21 tC) 和行业 B (33. 08 tC)。遥感和地理信息系统 (GIS) 的集成为定期红树林监测提供了一种有效、低成本且可重复的方法。此外，由此产生的空间信息在支持环境管理、红树林恢复、环境、社会和治理（ESG）报告、企业社会责任（CSR）评估以及符合工业5.0原则的数字环境监测系统方面具有巨大潜力。</w:t>
      </w:r>
    </w:p>
    <w:p>
      <w:r>
        <w:rPr>
          <w:rFonts w:ascii="Microsoft YaHei" w:hAnsi="Microsoft YaHei" w:eastAsia="Microsoft YaHei"/>
          <w:color w:val="0563C1"/>
          <w:sz w:val="18"/>
        </w:rPr>
        <w:t>链接：https://doi.org/10.11594/ijmaber.07.07.30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