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检索日期：2026-06-15 | GitHub Actions 自动生成</w:t>
      </w:r>
    </w:p>
    <w:p>
      <w:pPr>
        <w:pStyle w:val="Heading1"/>
      </w:pPr>
      <w:r>
        <w:t>今日总览</w:t>
      </w:r>
    </w:p>
    <w:p>
      <w:r>
        <w:rPr>
          <w:rFonts w:ascii="Microsoft YaHei" w:hAnsi="Microsoft YaHei" w:eastAsia="Microsoft YaHei"/>
        </w:rPr>
        <w:t>历史去重后今日新增 4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Compound ENSO–IOD Forcing of Post-2016 Marine Heatwave Intensification in East Asian Marginal Seas: A Satellite ECV Perspective</w:t>
      </w:r>
    </w:p>
    <w:p>
      <w:r>
        <w:rPr>
          <w:rFonts w:ascii="Microsoft YaHei" w:hAnsi="Microsoft YaHei" w:eastAsia="Microsoft YaHei"/>
          <w:color w:val="55697D"/>
          <w:sz w:val="18"/>
        </w:rPr>
        <w:t>作者：Jongho Woo; Sungwon Choi; Daeseong Jung; Suyoung Sim; Sungwoo Park; Seungwon Kim; Seungkyoo Lee; Chaeyun Kim; et al.</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DOI：10.1016/j.rsase.2026.102116</w:t>
      </w:r>
    </w:p>
    <w:p>
      <w:r>
        <w:rPr>
          <w:rFonts w:ascii="Microsoft YaHei" w:hAnsi="Microsoft YaHei" w:eastAsia="Microsoft YaHei"/>
          <w:b/>
          <w:sz w:val="19"/>
        </w:rPr>
        <w:t>关键词：marine heatwaves</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链接：https://doi.org/10.1016/j.rsase.2026.102116</w:t>
      </w:r>
    </w:p>
    <w:p>
      <w:pPr>
        <w:pStyle w:val="Heading3"/>
      </w:pPr>
      <w:r>
        <w:rPr>
          <w:rFonts w:ascii="Microsoft YaHei" w:hAnsi="Microsoft YaHei" w:eastAsia="Microsoft YaHei"/>
          <w:b/>
        </w:rPr>
        <w:t>2. Long-Term Remote Sensing of Three-Dimensional Structure and Vertical Transport of Dust Aerosols over the Qaidam Basin</w:t>
      </w:r>
    </w:p>
    <w:p>
      <w:r>
        <w:rPr>
          <w:rFonts w:ascii="Microsoft YaHei" w:hAnsi="Microsoft YaHei" w:eastAsia="Microsoft YaHei"/>
          <w:color w:val="55697D"/>
          <w:sz w:val="18"/>
        </w:rPr>
        <w:t>作者：Si Chen; Qing He; Lu Zhang; Jinglong Li</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DOI：10.3390/rs18121977</w:t>
      </w:r>
    </w:p>
    <w:p>
      <w:r>
        <w:rPr>
          <w:rFonts w:ascii="Microsoft YaHei" w:hAnsi="Microsoft YaHei" w:eastAsia="Microsoft YaHei"/>
          <w:b/>
          <w:sz w:val="19"/>
        </w:rPr>
        <w:t>关键词：ocean colour; bio-optics; vertical structure</w:t>
      </w:r>
    </w:p>
    <w:p>
      <w:r>
        <w:rPr>
          <w:rFonts w:ascii="Microsoft YaHei" w:hAnsi="Microsoft YaHei" w:eastAsia="Microsoft YaHei"/>
          <w:sz w:val="17"/>
        </w:rPr>
        <w:t>摘要：本研究利用2007年至2022年CALIPSO卫星观测数据，探讨了柴达木盆地沙尘气溶胶的三维结构。结果表明，污染沙尘是该地区的主要气溶胶类型。春季沙尘活动高峰，垂直范围可达近10公里。流域西北部和中部地区沙尘气溶胶光学深度（DAOD）较高，春季峰值为0，近16年来DAOD呈明显下降趋势。从垂直结构来看，沙尘气溶胶主要集中在4 km AGL以下，尤其是0~2 km的近地表层，其出现频率随着海拔的升高而下降。沙尘层厚度呈现明显的季节变化，主要受层顶高度变化控制。冬季平均厚度为 1. 61 公里，但层底高度保持相当稳定。基于LASSO-SHAP模型的分析表明，潜在蒸散量和摩擦速​​度是影响DAOD的主要因素，凸显了地表干燥度和近地表动力强迫的重要作用。此外，对典型粉尘事件的调查揭示了粉尘输送的明显垂直分层。低层沙尘运动受盆地地形限制，而高层沙尘运动则受西风带控制。这项研究提高了我们对高海拔干旱盆地沙尘气溶胶三维结构、季节演变和输送过程的认识。</w:t>
      </w:r>
    </w:p>
    <w:p>
      <w:r>
        <w:rPr>
          <w:rFonts w:ascii="Microsoft YaHei" w:hAnsi="Microsoft YaHei" w:eastAsia="Microsoft YaHei"/>
          <w:color w:val="0563C1"/>
          <w:sz w:val="18"/>
        </w:rPr>
        <w:t>链接：https://doi.org/10.3390/rs18121977</w:t>
      </w:r>
    </w:p>
    <w:p>
      <w:pPr>
        <w:pStyle w:val="Heading3"/>
      </w:pPr>
      <w:r>
        <w:rPr>
          <w:rFonts w:ascii="Microsoft YaHei" w:hAnsi="Microsoft YaHei" w:eastAsia="Microsoft YaHei"/>
          <w:b/>
        </w:rPr>
        <w:t>3. Consistent Fusion of MADOCA-PPP and PPP-B2b SSR Corrections for Robust Real-Time PPP</w:t>
      </w:r>
    </w:p>
    <w:p>
      <w:r>
        <w:rPr>
          <w:rFonts w:ascii="Microsoft YaHei" w:hAnsi="Microsoft YaHei" w:eastAsia="Microsoft YaHei"/>
          <w:color w:val="55697D"/>
          <w:sz w:val="18"/>
        </w:rPr>
        <w:t>作者：Ruite Yi; Xiangwei Zhu; Mingjun Ouyang; Lu Cao; Jibing Wu; Guangteng Fan</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DOI：10.3390/rs18121973</w:t>
      </w:r>
    </w:p>
    <w:p>
      <w:r>
        <w:rPr>
          <w:rFonts w:ascii="Microsoft YaHei" w:hAnsi="Microsoft YaHei" w:eastAsia="Microsoft YaHei"/>
          <w:b/>
          <w:sz w:val="19"/>
        </w:rPr>
        <w:t>关键词：carbon pump</w:t>
      </w:r>
    </w:p>
    <w:p>
      <w:r>
        <w:rPr>
          <w:rFonts w:ascii="Microsoft YaHei" w:hAnsi="Microsoft YaHei" w:eastAsia="Microsoft YaHei"/>
          <w:sz w:val="17"/>
        </w:rPr>
        <w:t>摘要：实时精确单点定位 (PPP) 越来越多地受到开放卫星广播状态空间表示 (SSR) 服务的支持，但单个服务的独立操作仍然容易受到星座支持有限、校正中断、延迟变化和服务相关建模不一致的影响。在亚太地区，MADOCA-PPP 和 PPP-B2b 提供了两个可公开访问且互补的 SSR 来源，但它们在用户级 PPP 估算之前的一致融合仍没有得到充分研究。本文提出了一种校正域融合框架，该框架在 PPP 估计之前结合 MADOCA-PPP 和 PPP-B2b 轨道和时钟校正，而不是合并最终的定位解决方案。服务间差异和未知的互相关性通过偏差状态感知的结构化协方差交叉策略来处理，其中相对权重源自各自的校正信息（逆方差），保持统计一致性并避免过度自信的融合。统一的多 GNSS PPP 方案进一步支持信号优先级协调、广播星历自适应、校正年龄控制以及 GLONASS 频间和差分码偏差处理。静态站每历元（伪运动学）和海上运动学实验验证了该框架。在静态站测试中，Fusion 将有效卫星的平均数量从 21. 56 颗提高到 0. 033 m，优于任何一个独立服务 (0. 079 m)，证实了真正的组合而不是源选择，而 3D RMS (0. 068 m) 与最佳独立服务匹配 (0. 在海上测试中，Fusion 实现了最佳的整体精度 (独立服务为 0. 313 m)，并且大多数卫星（25. 随着海拔截止值的增加，它的降解速度也最慢，在 40° 时，其性能比这两种服务高出约三倍。归一化创新平方检查证实融合协方差是一致的且不过分自信（中位数 ≈ 1. 1；在 100% 时期的 99% 范围内）。在30秒到600秒的单业务中断情况下，融合保持了100. 0%的可用性，证实了其在冗余、连续性和弹性方面的优势。</w:t>
      </w:r>
    </w:p>
    <w:p>
      <w:r>
        <w:rPr>
          <w:rFonts w:ascii="Microsoft YaHei" w:hAnsi="Microsoft YaHei" w:eastAsia="Microsoft YaHei"/>
          <w:color w:val="0563C1"/>
          <w:sz w:val="18"/>
        </w:rPr>
        <w:t>链接：https://doi.org/10.3390/rs18121973</w:t>
      </w:r>
    </w:p>
    <w:p>
      <w:pPr>
        <w:pStyle w:val="Heading2"/>
      </w:pPr>
      <w:r>
        <w:t>重点关注团队</w:t>
      </w:r>
    </w:p>
    <w:p>
      <w:pPr>
        <w:pStyle w:val="Heading3"/>
      </w:pPr>
      <w:r>
        <w:rPr>
          <w:rFonts w:ascii="Microsoft YaHei" w:hAnsi="Microsoft YaHei" w:eastAsia="Microsoft YaHei"/>
          <w:b/>
        </w:rPr>
        <w:t>4. Low‐Dose H 2 O 2 Priming Improves Performance Under Simulated Marine Heatwave Conditions in a Coastal Bivalve</w:t>
      </w:r>
    </w:p>
    <w:p>
      <w:r>
        <w:rPr>
          <w:rFonts w:ascii="Microsoft YaHei" w:hAnsi="Microsoft YaHei" w:eastAsia="Microsoft YaHei"/>
          <w:color w:val="55697D"/>
          <w:sz w:val="18"/>
        </w:rPr>
        <w:t>作者：Chiara Mascitelli; Giovanna Monticelli; Alessandro Nardi; Giulia Dalla Rovere; Graziano Rilievo; Ilaria Bernardini; Nicole Macrì; Deborah Cesaroni; et al.</w:t>
      </w:r>
    </w:p>
    <w:p>
      <w:r>
        <w:rPr>
          <w:rFonts w:ascii="Microsoft YaHei" w:hAnsi="Microsoft YaHei" w:eastAsia="Microsoft YaHei"/>
          <w:color w:val="55697D"/>
          <w:sz w:val="18"/>
        </w:rPr>
        <w:t>期刊：Global Challenges</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DOI：10.1002/gch2.70123</w:t>
      </w:r>
    </w:p>
    <w:p>
      <w:r>
        <w:rPr>
          <w:rFonts w:ascii="Microsoft YaHei" w:hAnsi="Microsoft YaHei" w:eastAsia="Microsoft YaHei"/>
          <w:b/>
          <w:sz w:val="19"/>
        </w:rPr>
        <w:t>关键词：marine heatwaves</w:t>
      </w:r>
    </w:p>
    <w:p>
      <w:r>
        <w:rPr>
          <w:rFonts w:ascii="Microsoft YaHei" w:hAnsi="Microsoft YaHei" w:eastAsia="Microsoft YaHei"/>
          <w:sz w:val="17"/>
        </w:rPr>
        <w:t>摘要：气候变化导致海洋热浪加剧，给海洋生态系统带来极端热浪。启动是一种先前的亚致死暴露形成反应的过程，越来越多地被认为是对环境变化耐受的关键机制。虽然化学引发在植物中得到了广泛研究，但在动物中仍未得到探索。在这里，我们测试了作为氧化还原信号的过氧化氢 (H 2 O 2 ) 是否可以在马尼拉蛤 (菲律宾蛤仔)（一种生态和经济上重要的双壳类物种）中诱导对模拟海洋热浪的启动生理状态调节反应。蛤接受化学、热或组合底漆处理，随后受到受控热浪的挑战。 H 2 O 2 引发成为一种有效且耐受性良好的治疗方法，经过引发的蛤在热浪暴露期间表现出更快的挖洞速度，并且转录组扰动最小。微生物群分析揭示了热浪暴露期间和之后机会性类群（包括弧菌和粘杆菌）的短暂变化和相对丰度减少。在自然夏季条件下进行的长期田间试验并未显示出引发后几个月内对测量性状的可检测到的不利影响。总体而言，这些发现确定低剂量 H 2 O 2 启动是模拟热浪条件下海洋双壳类应激反应的潜在机制。</w:t>
      </w:r>
    </w:p>
    <w:p>
      <w:r>
        <w:rPr>
          <w:rFonts w:ascii="Microsoft YaHei" w:hAnsi="Microsoft YaHei" w:eastAsia="Microsoft YaHei"/>
          <w:color w:val="0563C1"/>
          <w:sz w:val="18"/>
        </w:rPr>
        <w:t>链接：https://doi.org/10.1002/gch2.70123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