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441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新加坡RWA项目</w:t>
      </w:r>
    </w:p>
    <w:p w14:paraId="68A66247">
      <w:pPr>
        <w:spacing w:before="120" w:after="120" w:line="288" w:lineRule="auto"/>
        <w:ind w:left="0"/>
        <w:jc w:val="left"/>
      </w:pPr>
      <w:bookmarkStart w:id="15" w:name="_GoBack"/>
      <w:bookmarkEnd w:id="15"/>
      <w:r>
        <w:rPr>
          <w:rFonts w:ascii="Arial" w:hAnsi="Arial" w:eastAsia="等线" w:cs="Arial"/>
          <w:sz w:val="22"/>
        </w:rPr>
        <w:t>基于1000台逆变器（总价值100万欧元）在新加坡开展RWA（Real World Assets，现实世界资产上链），并搭建一款对应的以太坊APP（DApp）。核心逻辑是</w:t>
      </w:r>
      <w:r>
        <w:rPr>
          <w:rFonts w:ascii="Arial" w:hAnsi="Arial" w:eastAsia="等线" w:cs="Arial"/>
          <w:b/>
          <w:sz w:val="22"/>
        </w:rPr>
        <w:t>将实体逆变器资产锚定为链上合规通证，通过以太坊生态实现资产的发行、管理、交易与溯源</w:t>
      </w:r>
      <w:r>
        <w:rPr>
          <w:rFonts w:ascii="Arial" w:hAnsi="Arial" w:eastAsia="等线" w:cs="Arial"/>
          <w:sz w:val="22"/>
        </w:rPr>
        <w:t>，同时需适配新加坡的监管要求。以下是完整的落地流程，从核心逻辑到技术开发，再到合规落地，一步到位：</w:t>
      </w:r>
    </w:p>
    <w:p w14:paraId="49E0325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一、先明确核心前提：新加坡RWA项目的核心原则</w:t>
      </w:r>
      <w:bookmarkEnd w:id="0"/>
    </w:p>
    <w:p w14:paraId="18038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在搭建以太坊APP前，必须先理清2个核心前提（决定项目能否落地）：</w:t>
      </w:r>
    </w:p>
    <w:p w14:paraId="7783FD6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资产锚定原则</w:t>
      </w:r>
      <w:r>
        <w:rPr>
          <w:rFonts w:ascii="Arial" w:hAnsi="Arial" w:eastAsia="等线" w:cs="Arial"/>
          <w:sz w:val="22"/>
        </w:rPr>
        <w:t>：1000台逆变器需实现「链上通证 ↔ 线下实体资产」1:1锚定，每一枚通证对应1台价值1000欧元的逆变器，需有</w:t>
      </w:r>
      <w:r>
        <w:rPr>
          <w:rFonts w:ascii="Arial" w:hAnsi="Arial" w:eastAsia="等线" w:cs="Arial"/>
          <w:b/>
          <w:sz w:val="22"/>
        </w:rPr>
        <w:t>第三方持牌托管机构</w:t>
      </w:r>
      <w:r>
        <w:rPr>
          <w:rFonts w:ascii="Arial" w:hAnsi="Arial" w:eastAsia="等线" w:cs="Arial"/>
          <w:sz w:val="22"/>
        </w:rPr>
        <w:t>（新加坡）对逆变器进行保管、估值、维护，确保资产真实可追溯；</w:t>
      </w:r>
    </w:p>
    <w:p w14:paraId="48D0F7B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合规优先原则</w:t>
      </w:r>
      <w:r>
        <w:rPr>
          <w:rFonts w:ascii="Arial" w:hAnsi="Arial" w:eastAsia="等线" w:cs="Arial"/>
          <w:sz w:val="22"/>
        </w:rPr>
        <w:t>：新加坡对RWA的监管主体是</w:t>
      </w:r>
      <w:r>
        <w:rPr>
          <w:rFonts w:ascii="Arial" w:hAnsi="Arial" w:eastAsia="等线" w:cs="Arial"/>
          <w:b/>
          <w:sz w:val="22"/>
        </w:rPr>
        <w:t>MAS（新加坡金融管理局）</w:t>
      </w:r>
      <w:r>
        <w:rPr>
          <w:rFonts w:ascii="Arial" w:hAnsi="Arial" w:eastAsia="等线" w:cs="Arial"/>
          <w:sz w:val="22"/>
        </w:rPr>
        <w:t>，要求RWA项目需满足：① 资产确权清晰；② KYC/AML合规；③ 托管机构持牌；④ 通证不具备证券属性（或按STO合规备案），避免违规。</w:t>
      </w:r>
    </w:p>
    <w:p w14:paraId="53B1149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二、整体架构设计：以太坊RWA DApp的核心框架</w:t>
      </w:r>
      <w:bookmarkEnd w:id="1"/>
    </w:p>
    <w:p w14:paraId="0FA2D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这款以太坊APP本质是「去中心化应用（DApp）+ 链下合规服务」的结合（纯去中心化无法满足新加坡RWA合规要求），整体分为3层，兼容以太坊生态，同时兼顾落地可行性：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989D2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06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1C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AF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技术选型/说明</w:t>
            </w:r>
          </w:p>
        </w:tc>
      </w:tr>
      <w:tr w14:paraId="299EC8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93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链上层（以太坊生态）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B5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智能合约、RWA通证、资产存证、交易逻辑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7B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优先选择</w:t>
            </w:r>
            <w:r>
              <w:rPr>
                <w:rFonts w:ascii="Arial" w:hAnsi="Arial" w:eastAsia="等线" w:cs="Arial"/>
                <w:b/>
                <w:sz w:val="22"/>
              </w:rPr>
              <w:t>以太坊Layer2（Polygon PoS/Arbitrum）</w:t>
            </w:r>
            <w:r>
              <w:rPr>
                <w:rFonts w:ascii="Arial" w:hAnsi="Arial" w:eastAsia="等线" w:cs="Arial"/>
                <w:sz w:val="22"/>
              </w:rPr>
              <w:t>（降低Gas费、提升吞吐量，兼容以太坊主网，适合新加坡项目落地），通证采用ERC-3525（半同质化，适合映射实体资产，支持单台逆变器溯源）或ERC-1400（证券型通证，合规性更强）</w:t>
            </w:r>
          </w:p>
        </w:tc>
      </w:tr>
      <w:tr w14:paraId="07FC9B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9B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中间层（链下-链上桥梁）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41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资产数据同步、KYC/AML验证、托管对接、审计存证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0D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预言机（Chainlink，获取逆变器维护/估值数据）、IPFS（存储逆变器产权/审计报告，链上存哈希）、新加坡持牌KYC机构接口</w:t>
            </w:r>
          </w:p>
        </w:tc>
      </w:tr>
      <w:tr w14:paraId="085A87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8C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前端层（用户交互）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59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以太坊APP界面（网页端/移动端）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F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React/Vue（前端框架）、Ethers.js/Web3.js（对接以太坊网络）、MetaMask（钱包登录，兼容以太坊生态）</w:t>
            </w:r>
          </w:p>
        </w:tc>
      </w:tr>
    </w:tbl>
    <w:p w14:paraId="669DE08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三、分步落地：从资产准备到DApp上线（核心步骤）</w:t>
      </w:r>
      <w:bookmarkEnd w:id="2"/>
    </w:p>
    <w:p w14:paraId="3C2F11F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步骤1：实体资产确权与新加坡合规前置准备（非技术，却是核心）</w:t>
      </w:r>
      <w:bookmarkEnd w:id="3"/>
    </w:p>
    <w:p w14:paraId="7627D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这是RWA项目的基础，没有这一步，链上DApp毫无意义：</w:t>
      </w:r>
    </w:p>
    <w:p w14:paraId="2B90486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资产确权</w:t>
      </w:r>
      <w:r>
        <w:rPr>
          <w:rFonts w:ascii="Arial" w:hAnsi="Arial" w:eastAsia="等线" w:cs="Arial"/>
          <w:sz w:val="22"/>
        </w:rPr>
        <w:t>：整理1000台逆变器的完整资料，包括：采购合同、产权证明、技术参数、价值评估报告（由新加坡持牌评估机构出具）、维护记录，确保每台逆变器可唯一标识（如设备序列号）；</w:t>
      </w:r>
    </w:p>
    <w:p w14:paraId="7657D7B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选择托管机构</w:t>
      </w:r>
      <w:r>
        <w:rPr>
          <w:rFonts w:ascii="Arial" w:hAnsi="Arial" w:eastAsia="等线" w:cs="Arial"/>
          <w:sz w:val="22"/>
        </w:rPr>
        <w:t>：对接新加坡</w:t>
      </w:r>
      <w:r>
        <w:rPr>
          <w:rFonts w:ascii="Arial" w:hAnsi="Arial" w:eastAsia="等线" w:cs="Arial"/>
          <w:b/>
          <w:sz w:val="22"/>
        </w:rPr>
        <w:t>持牌资产托管机构</w:t>
      </w:r>
      <w:r>
        <w:rPr>
          <w:rFonts w:ascii="Arial" w:hAnsi="Arial" w:eastAsia="等线" w:cs="Arial"/>
          <w:sz w:val="22"/>
        </w:rPr>
        <w:t>（如DBS Digital Asset、Ocorian），将1000台逆变器委托托管，签订托管协议，明确：① 资产安全保管；② 定期估值并出具报告；③ 资产变动时同步通知链上项目方；</w:t>
      </w:r>
    </w:p>
    <w:p w14:paraId="44882B1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合规主体注册</w:t>
      </w:r>
      <w:r>
        <w:rPr>
          <w:rFonts w:ascii="Arial" w:hAnsi="Arial" w:eastAsia="等线" w:cs="Arial"/>
          <w:sz w:val="22"/>
        </w:rPr>
        <w:t>：在新加坡注册</w:t>
      </w:r>
      <w:r>
        <w:rPr>
          <w:rFonts w:ascii="Arial" w:hAnsi="Arial" w:eastAsia="等线" w:cs="Arial"/>
          <w:b/>
          <w:sz w:val="22"/>
        </w:rPr>
        <w:t>私人有限公司（Pte. Ltd.）</w:t>
      </w:r>
      <w:r>
        <w:rPr>
          <w:rFonts w:ascii="Arial" w:hAnsi="Arial" w:eastAsia="等线" w:cs="Arial"/>
          <w:sz w:val="22"/>
        </w:rPr>
        <w:t>，作为RWA项目的运营主体，同时向MAS提交RWA项目备案（提前沟通监管要求，避免触碰证券红线）；</w:t>
      </w:r>
    </w:p>
    <w:p w14:paraId="66402B9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KYC/AML服务商对接</w:t>
      </w:r>
      <w:r>
        <w:rPr>
          <w:rFonts w:ascii="Arial" w:hAnsi="Arial" w:eastAsia="等线" w:cs="Arial"/>
          <w:sz w:val="22"/>
        </w:rPr>
        <w:t>：选择新加坡持牌的KYC/AML服务商（如SingPass Digital ID、Onfido），获取API接口，用于后续DApp用户的身份验证。</w:t>
      </w:r>
    </w:p>
    <w:p w14:paraId="5254C86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步骤2：RWA通证设计与以太坊智能合约开发（链上核心）</w:t>
      </w:r>
      <w:bookmarkEnd w:id="4"/>
    </w:p>
    <w:p w14:paraId="699D00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基于以太坊Layer2（推荐Polygon PoS，成本低、合规项目落地多），开发核心智能合约，实现资产上链与通证管理：</w:t>
      </w:r>
    </w:p>
    <w:p w14:paraId="571D3D0D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1. 通证选型（二选一，适配逆变器场景）</w:t>
      </w:r>
      <w:bookmarkEnd w:id="5"/>
    </w:p>
    <w:p w14:paraId="3564FF3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优先选ERC-3525（半同质化通证）</w:t>
      </w:r>
      <w:r>
        <w:rPr>
          <w:rFonts w:ascii="Arial" w:hAnsi="Arial" w:eastAsia="等线" w:cs="Arial"/>
          <w:sz w:val="22"/>
        </w:rPr>
        <w:t>：每一枚通证对应1台逆变器（设备序列号与通证ID绑定），支持查询单台设备的产权、托管、估值信息，适合后续资产溯源与维护，更贴合逆变器的实体资产属性；</w:t>
      </w:r>
    </w:p>
    <w:p w14:paraId="2275B9E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备选ERC-1400（证券型通证）</w:t>
      </w:r>
      <w:r>
        <w:rPr>
          <w:rFonts w:ascii="Arial" w:hAnsi="Arial" w:eastAsia="等线" w:cs="Arial"/>
          <w:sz w:val="22"/>
        </w:rPr>
        <w:t>：合规性更强，支持权限管理（如仅KYC通过用户可交易）、暂停交易（应急合规），但功能更复杂，需更严格的审计。</w:t>
      </w:r>
    </w:p>
    <w:p w14:paraId="7B73300C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2. 核心智能合约模块（基于Solidity编写，推荐用Hardhat开发/测试）</w:t>
      </w:r>
      <w:bookmarkEnd w:id="6"/>
    </w:p>
    <w:p w14:paraId="46435B2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RWA通证发行合约</w:t>
      </w:r>
      <w:r>
        <w:rPr>
          <w:rFonts w:ascii="Arial" w:hAnsi="Arial" w:eastAsia="等线" w:cs="Arial"/>
          <w:sz w:val="22"/>
        </w:rPr>
        <w:t>（核心）</w:t>
      </w:r>
    </w:p>
    <w:p w14:paraId="43F2D1D5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实现1:1锚定：总供应量1000枚，每枚对应1台1000欧元逆变器，仅项目方（合规主体）可铸造（Mint），铸造前需验证托管机构的资产确认回执；</w:t>
      </w:r>
    </w:p>
    <w:p w14:paraId="0553564F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权限管理：仅KYC通过的用户可进行转账、持有通证，禁止未验证用户操作；</w:t>
      </w:r>
    </w:p>
    <w:p w14:paraId="7C52C430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应急功能：支持暂停交易（当逆变器资产出现异常时，由项目方+托管机构共同签名触发，符合MAS合规要求）；</w:t>
      </w:r>
    </w:p>
    <w:p w14:paraId="2335176A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溯源功能：每枚通证绑定逆变器的设备序列号、托管地址、评估报告IPFS哈希。</w:t>
      </w:r>
    </w:p>
    <w:p w14:paraId="19D4F2B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资产存证与审计合约</w:t>
      </w:r>
    </w:p>
    <w:p w14:paraId="4DE2E7A6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存储逆变器的产权证明、托管协议、定期审计报告的IPFS哈希（链下存储文件，链上存哈希，确保不可篡改）；</w:t>
      </w:r>
    </w:p>
    <w:p w14:paraId="736895EC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支持托管机构更新资产状态（如设备维护、估值变动），更新需签名验证，确保数据真实。</w:t>
      </w:r>
    </w:p>
    <w:p w14:paraId="34D700A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合规管控合约</w:t>
      </w:r>
    </w:p>
    <w:p w14:paraId="37D32741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对接链下KYC/AML服务，存储用户KYC通过状态（仅存验证结果，不存敏感信息，符合新加坡PDPA数据隐私要求）；</w:t>
      </w:r>
    </w:p>
    <w:p w14:paraId="537E3EC7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限制交易范围：仅新加坡合规用户（或MAS允许的用户群体）可参与，禁止匿名用户交易。</w:t>
      </w:r>
    </w:p>
    <w:p w14:paraId="02A53E7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智能合约安全审计</w:t>
      </w:r>
      <w:r>
        <w:rPr>
          <w:rFonts w:ascii="Arial" w:hAnsi="Arial" w:eastAsia="等线" w:cs="Arial"/>
          <w:sz w:val="22"/>
        </w:rPr>
        <w:t>（必做）</w:t>
      </w:r>
    </w:p>
    <w:p w14:paraId="56270098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委托专业审计机构（如OpenZeppelin、Trail of Bits）对合约进行审计，修复漏洞；</w:t>
      </w:r>
    </w:p>
    <w:p w14:paraId="0C06D01B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在Polygon测试网（Mumbai）进行全流程测试，确保铸造、转账、存证等功能正常。</w:t>
      </w:r>
    </w:p>
    <w:p w14:paraId="1B4542E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步骤3：链下服务与前端DApp开发（用户交互层）</w:t>
      </w:r>
      <w:bookmarkEnd w:id="7"/>
    </w:p>
    <w:p w14:paraId="27A994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开发以太坊APP的前端界面与链下辅助服务，实现用户与链上资产的交互：</w:t>
      </w:r>
    </w:p>
    <w:p w14:paraId="3D23B8D2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1. 链下核心服务开发</w:t>
      </w:r>
      <w:bookmarkEnd w:id="8"/>
    </w:p>
    <w:p w14:paraId="25C5B4E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资产数据同步服务</w:t>
      </w:r>
      <w:r>
        <w:rPr>
          <w:rFonts w:ascii="Arial" w:hAnsi="Arial" w:eastAsia="等线" w:cs="Arial"/>
          <w:sz w:val="22"/>
        </w:rPr>
        <w:t>：定期从托管机构获取逆变器的状态、估值数据，上传至IPFS获取哈希，再调用智能合约更新链上数据；</w:t>
      </w:r>
    </w:p>
    <w:p w14:paraId="0B9E48D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KYC/AML验证服务</w:t>
      </w:r>
      <w:r>
        <w:rPr>
          <w:rFonts w:ascii="Arial" w:hAnsi="Arial" w:eastAsia="等线" w:cs="Arial"/>
          <w:sz w:val="22"/>
        </w:rPr>
        <w:t>：对接新加坡持牌KYC服务商API，用户提交身份信息后，自动验证并将结果同步至合规管控合约；</w:t>
      </w:r>
    </w:p>
    <w:p w14:paraId="3A70A5E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预言机对接服务</w:t>
      </w:r>
      <w:r>
        <w:rPr>
          <w:rFonts w:ascii="Arial" w:hAnsi="Arial" w:eastAsia="等线" w:cs="Arial"/>
          <w:sz w:val="22"/>
        </w:rPr>
        <w:t>：通过Chainlink预言机获取欧元/加密货币汇率（可选），实现通证估值的实时更新（链上可验证）。</w:t>
      </w:r>
    </w:p>
    <w:p w14:paraId="45A8F6B3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 前端DApp开发（以太坊APP，支持网页端+移动端适配）</w:t>
      </w:r>
      <w:bookmarkEnd w:id="9"/>
    </w:p>
    <w:p w14:paraId="5DCD39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核心功能模块（界面简洁，适配新加坡用户习惯）：</w:t>
      </w:r>
    </w:p>
    <w:p w14:paraId="1D6E0E6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钱包登录</w:t>
      </w:r>
      <w:r>
        <w:rPr>
          <w:rFonts w:ascii="Arial" w:hAnsi="Arial" w:eastAsia="等线" w:cs="Arial"/>
          <w:sz w:val="22"/>
        </w:rPr>
        <w:t>：支持MetaMask（以太坊生态主流钱包）登录，连接Polygon PoS网络，获取用户钱包地址与通证余额；</w:t>
      </w:r>
    </w:p>
    <w:p w14:paraId="4716273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KYC/AML验证</w:t>
      </w:r>
      <w:r>
        <w:rPr>
          <w:rFonts w:ascii="Arial" w:hAnsi="Arial" w:eastAsia="等线" w:cs="Arial"/>
          <w:sz w:val="22"/>
        </w:rPr>
        <w:t>：用户提交新加坡身份证（或护照）、地址证明，完成线上验证，验证通过后才能解锁交易功能；</w:t>
      </w:r>
    </w:p>
    <w:p w14:paraId="5565149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RWA通证查询</w:t>
      </w:r>
      <w:r>
        <w:rPr>
          <w:rFonts w:ascii="Arial" w:hAnsi="Arial" w:eastAsia="等线" w:cs="Arial"/>
          <w:sz w:val="22"/>
        </w:rPr>
        <w:t>：查询用户持有的通证对应的逆变器信息（设备序列号、托管状态、估值、审计报告）；</w:t>
      </w:r>
    </w:p>
    <w:p w14:paraId="2FBBF91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通证转账</w:t>
      </w:r>
      <w:r>
        <w:rPr>
          <w:rFonts w:ascii="Arial" w:hAnsi="Arial" w:eastAsia="等线" w:cs="Arial"/>
          <w:sz w:val="22"/>
        </w:rPr>
        <w:t>：支持合规用户之间的通证转账（对应逆变器所有权转移），转账前自动验证双方KYC状态，转账后同步更新链上资产权属；</w:t>
      </w:r>
    </w:p>
    <w:p w14:paraId="6DE2AE1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资产信息总览</w:t>
      </w:r>
      <w:r>
        <w:rPr>
          <w:rFonts w:ascii="Arial" w:hAnsi="Arial" w:eastAsia="等线" w:cs="Arial"/>
          <w:sz w:val="22"/>
        </w:rPr>
        <w:t>：展示1000台逆变器的整体状态、总估值、托管机构信息、最新审计报告，提升项目透明度；</w:t>
      </w:r>
    </w:p>
    <w:p w14:paraId="32BB5A9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交易记录查询</w:t>
      </w:r>
      <w:r>
        <w:rPr>
          <w:rFonts w:ascii="Arial" w:hAnsi="Arial" w:eastAsia="等线" w:cs="Arial"/>
          <w:sz w:val="22"/>
        </w:rPr>
        <w:t>：查询用户的通证转账记录、资产状态变更记录，链上可追溯。</w:t>
      </w:r>
    </w:p>
    <w:p w14:paraId="2606F072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技术栈选型（前端）</w:t>
      </w:r>
      <w:bookmarkEnd w:id="10"/>
    </w:p>
    <w:p w14:paraId="3CC5AEC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框架：React（优先，生态成熟，适配Web3开发）；</w:t>
      </w:r>
    </w:p>
    <w:p w14:paraId="0B1C48A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Web3对接：Ethers.js（简化以太坊网络交互，支持Polygon PoS）；</w:t>
      </w:r>
    </w:p>
    <w:p w14:paraId="4F4DF57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部署：IPFS（去中心化部署）+ 新加坡云服务器（如AWS新加坡区域，备用，确保本地用户访问速度）；</w:t>
      </w:r>
    </w:p>
    <w:p w14:paraId="3663D4E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样式：Tailwind CSS（快速搭建简洁合规的界面，符合新加坡用户审美）。</w:t>
      </w:r>
    </w:p>
    <w:p w14:paraId="0338FEC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步骤4：测试与合规验收（新加坡MAS要求）</w:t>
      </w:r>
      <w:bookmarkEnd w:id="11"/>
    </w:p>
    <w:p w14:paraId="0A1CD82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全流程测试</w:t>
      </w:r>
    </w:p>
    <w:p w14:paraId="6F13378E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智能合约：在Polygon Mumbai测试网完成铸造、转账、暂停、资产更新等全功能测试，确保无漏洞；</w:t>
      </w:r>
    </w:p>
    <w:p w14:paraId="558AE362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前端DApp：测试用户登录、KYC验证、转账等流程，确保交互流畅，数据同步准确；</w:t>
      </w:r>
    </w:p>
    <w:p w14:paraId="3F7B68F5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安全测试：渗透测试，防止用户数据泄露，符合新加坡PDPA数据隐私保护要求。</w:t>
      </w:r>
    </w:p>
    <w:p w14:paraId="05F14CD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新加坡合规验收</w:t>
      </w:r>
    </w:p>
    <w:p w14:paraId="05ED8031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提交智能合约审计报告、托管协议、KYC/AML合规方案给MAS，完成项目备案；</w:t>
      </w:r>
    </w:p>
    <w:p w14:paraId="34D60933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委托第三方机构出具RWA项目合规报告，确认通证不具备证券属性，符合新加坡金融监管要求；</w:t>
      </w:r>
    </w:p>
    <w:p w14:paraId="08218C2E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确保用户数据存储在新加坡境内（符合PDPA），托管机构具备完整的资产保管资质。</w:t>
      </w:r>
    </w:p>
    <w:p w14:paraId="6C9B9D62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步骤5：部署与上线运维</w:t>
      </w:r>
      <w:bookmarkEnd w:id="12"/>
    </w:p>
    <w:p w14:paraId="4AAD64D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正式部署</w:t>
      </w:r>
    </w:p>
    <w:p w14:paraId="5FD2DD52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智能合约：部署到Polygon PoS主网（或Arbitrum），开源合约代码（提升透明度，增强用户信任）；</w:t>
      </w:r>
    </w:p>
    <w:p w14:paraId="3F2B9F12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前端DApp：部署到IPFS，绑定新加坡域名，上线移动端适配版本（如PWA，无需下载APP，直接通过浏览器访问）；</w:t>
      </w:r>
    </w:p>
    <w:p w14:paraId="0D033068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对接托管机构、KYC服务商的正式接口，开启全流程服务。</w:t>
      </w:r>
    </w:p>
    <w:p w14:paraId="37A13B2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日常运维</w:t>
      </w:r>
    </w:p>
    <w:p w14:paraId="2313ADF6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定期资产审计：每月/每季度由托管机构出具逆变器资产报告，上传IPFS并同步至链上；</w:t>
      </w:r>
    </w:p>
    <w:p w14:paraId="79C9EF16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智能合约监控：通过Chainlink Keepers监控合约状态，及时发现异常交易；</w:t>
      </w:r>
    </w:p>
    <w:p w14:paraId="4C65D277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合规更新：跟进MAS的RWA监管政策，及时调整项目功能，确保持续合规；</w:t>
      </w:r>
    </w:p>
    <w:p w14:paraId="5F41A900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用户支持：提供新加坡本地语言（英文/中文）的用户支持，解决交易、查询相关问题。</w:t>
      </w:r>
    </w:p>
    <w:p w14:paraId="22A9225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四、关键注意事项与风险控制（新加坡RWA项目重点）</w:t>
      </w:r>
      <w:bookmarkEnd w:id="13"/>
    </w:p>
    <w:p w14:paraId="3D8EB0D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资产锚定风险</w:t>
      </w:r>
      <w:r>
        <w:rPr>
          <w:rFonts w:ascii="Arial" w:hAnsi="Arial" w:eastAsia="等线" w:cs="Arial"/>
          <w:sz w:val="22"/>
        </w:rPr>
        <w:t>：确保托管机构的逆变器资产足额，避免通证超发，定期公开托管报告，提升透明度；</w:t>
      </w:r>
    </w:p>
    <w:p w14:paraId="36894D4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合规风险</w:t>
      </w:r>
      <w:r>
        <w:rPr>
          <w:rFonts w:ascii="Arial" w:hAnsi="Arial" w:eastAsia="等线" w:cs="Arial"/>
          <w:sz w:val="22"/>
        </w:rPr>
        <w:t>：MAS对RWA的监管仍在完善，需提前建立与监管机构的沟通渠道，避免项目违规；</w:t>
      </w:r>
    </w:p>
    <w:p w14:paraId="263F4E1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技术风险</w:t>
      </w:r>
      <w:r>
        <w:rPr>
          <w:rFonts w:ascii="Arial" w:hAnsi="Arial" w:eastAsia="等线" w:cs="Arial"/>
          <w:sz w:val="22"/>
        </w:rPr>
        <w:t>：智能合约漏洞可能导致资产损失，必须进行专业审计，且预留应急暂停功能；</w:t>
      </w:r>
    </w:p>
    <w:p w14:paraId="0352103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流动性风险</w:t>
      </w:r>
      <w:r>
        <w:rPr>
          <w:rFonts w:ascii="Arial" w:hAnsi="Arial" w:eastAsia="等线" w:cs="Arial"/>
          <w:sz w:val="22"/>
        </w:rPr>
        <w:t>：RWA通证的流动性较低，可对接新加坡合规的去中心化交易所（如Uniswap Polygon版）或中心化平台，提升通证流转性；</w:t>
      </w:r>
    </w:p>
    <w:p w14:paraId="5934E98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数据隐私风险</w:t>
      </w:r>
      <w:r>
        <w:rPr>
          <w:rFonts w:ascii="Arial" w:hAnsi="Arial" w:eastAsia="等线" w:cs="Arial"/>
          <w:sz w:val="22"/>
        </w:rPr>
        <w:t>：用户KYC数据需严格加密存储，符合新加坡PDPA法案，避免数据泄露。</w:t>
      </w:r>
    </w:p>
    <w:p w14:paraId="7D4A988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总结</w:t>
      </w:r>
      <w:bookmarkEnd w:id="14"/>
    </w:p>
    <w:p w14:paraId="68B3A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搭建这款以太坊RWA APP的核心逻辑是「</w:t>
      </w:r>
      <w:r>
        <w:rPr>
          <w:rFonts w:ascii="Arial" w:hAnsi="Arial" w:eastAsia="等线" w:cs="Arial"/>
          <w:b/>
          <w:sz w:val="22"/>
        </w:rPr>
        <w:t>合规先行、资产锚定为核心、以太坊Layer2为技术载体</w:t>
      </w:r>
      <w:r>
        <w:rPr>
          <w:rFonts w:ascii="Arial" w:hAnsi="Arial" w:eastAsia="等线" w:cs="Arial"/>
          <w:sz w:val="22"/>
        </w:rPr>
        <w:t>」，步骤可概括为：「实体资产确权/托管 → 智能合约开发/审计 → 前端DApp开发 → 合规验收 → 部署上线 → 日常运维」。</w:t>
      </w:r>
    </w:p>
    <w:p w14:paraId="6D1C6B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对于逆变器这类实体资产，重点是实现「链上通证可溯源、链下资产可验证、全流程合规可监管」，既利用以太坊的去中心化、不可篡改特性，又兼顾新加坡的监管要求，才能实现项目的长期落地。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D1FE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B88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1C257C7B"/>
    <w:multiLevelType w:val="singleLevel"/>
    <w:tmpl w:val="1C257C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32A7AF2D"/>
    <w:multiLevelType w:val="singleLevel"/>
    <w:tmpl w:val="32A7AF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4"/>
  </w:num>
  <w:num w:numId="4">
    <w:abstractNumId w:val="13"/>
  </w:num>
  <w:num w:numId="5">
    <w:abstractNumId w:val="9"/>
  </w:num>
  <w:num w:numId="6">
    <w:abstractNumId w:val="24"/>
  </w:num>
  <w:num w:numId="7">
    <w:abstractNumId w:val="32"/>
  </w:num>
  <w:num w:numId="8">
    <w:abstractNumId w:val="51"/>
  </w:num>
  <w:num w:numId="9">
    <w:abstractNumId w:val="23"/>
  </w:num>
  <w:num w:numId="10">
    <w:abstractNumId w:val="5"/>
  </w:num>
  <w:num w:numId="11">
    <w:abstractNumId w:val="33"/>
  </w:num>
  <w:num w:numId="12">
    <w:abstractNumId w:val="45"/>
  </w:num>
  <w:num w:numId="13">
    <w:abstractNumId w:val="14"/>
  </w:num>
  <w:num w:numId="14">
    <w:abstractNumId w:val="41"/>
  </w:num>
  <w:num w:numId="15">
    <w:abstractNumId w:val="20"/>
  </w:num>
  <w:num w:numId="16">
    <w:abstractNumId w:val="31"/>
  </w:num>
  <w:num w:numId="17">
    <w:abstractNumId w:val="18"/>
  </w:num>
  <w:num w:numId="18">
    <w:abstractNumId w:val="17"/>
  </w:num>
  <w:num w:numId="19">
    <w:abstractNumId w:val="7"/>
  </w:num>
  <w:num w:numId="20">
    <w:abstractNumId w:val="39"/>
  </w:num>
  <w:num w:numId="21">
    <w:abstractNumId w:val="48"/>
  </w:num>
  <w:num w:numId="22">
    <w:abstractNumId w:val="27"/>
  </w:num>
  <w:num w:numId="23">
    <w:abstractNumId w:val="38"/>
  </w:num>
  <w:num w:numId="24">
    <w:abstractNumId w:val="8"/>
  </w:num>
  <w:num w:numId="25">
    <w:abstractNumId w:val="55"/>
  </w:num>
  <w:num w:numId="26">
    <w:abstractNumId w:val="53"/>
  </w:num>
  <w:num w:numId="27">
    <w:abstractNumId w:val="12"/>
  </w:num>
  <w:num w:numId="28">
    <w:abstractNumId w:val="49"/>
  </w:num>
  <w:num w:numId="29">
    <w:abstractNumId w:val="6"/>
  </w:num>
  <w:num w:numId="30">
    <w:abstractNumId w:val="37"/>
  </w:num>
  <w:num w:numId="31">
    <w:abstractNumId w:val="2"/>
  </w:num>
  <w:num w:numId="32">
    <w:abstractNumId w:val="43"/>
  </w:num>
  <w:num w:numId="33">
    <w:abstractNumId w:val="56"/>
  </w:num>
  <w:num w:numId="34">
    <w:abstractNumId w:val="0"/>
  </w:num>
  <w:num w:numId="35">
    <w:abstractNumId w:val="30"/>
  </w:num>
  <w:num w:numId="36">
    <w:abstractNumId w:val="42"/>
  </w:num>
  <w:num w:numId="37">
    <w:abstractNumId w:val="21"/>
  </w:num>
  <w:num w:numId="38">
    <w:abstractNumId w:val="19"/>
  </w:num>
  <w:num w:numId="39">
    <w:abstractNumId w:val="34"/>
  </w:num>
  <w:num w:numId="40">
    <w:abstractNumId w:val="54"/>
  </w:num>
  <w:num w:numId="41">
    <w:abstractNumId w:val="11"/>
  </w:num>
  <w:num w:numId="42">
    <w:abstractNumId w:val="4"/>
  </w:num>
  <w:num w:numId="43">
    <w:abstractNumId w:val="10"/>
  </w:num>
  <w:num w:numId="44">
    <w:abstractNumId w:val="46"/>
  </w:num>
  <w:num w:numId="45">
    <w:abstractNumId w:val="1"/>
  </w:num>
  <w:num w:numId="46">
    <w:abstractNumId w:val="28"/>
  </w:num>
  <w:num w:numId="47">
    <w:abstractNumId w:val="3"/>
  </w:num>
  <w:num w:numId="48">
    <w:abstractNumId w:val="47"/>
  </w:num>
  <w:num w:numId="49">
    <w:abstractNumId w:val="52"/>
  </w:num>
  <w:num w:numId="50">
    <w:abstractNumId w:val="40"/>
  </w:num>
  <w:num w:numId="51">
    <w:abstractNumId w:val="35"/>
  </w:num>
  <w:num w:numId="52">
    <w:abstractNumId w:val="50"/>
  </w:num>
  <w:num w:numId="53">
    <w:abstractNumId w:val="25"/>
  </w:num>
  <w:num w:numId="54">
    <w:abstractNumId w:val="26"/>
  </w:num>
  <w:num w:numId="55">
    <w:abstractNumId w:val="16"/>
  </w:num>
  <w:num w:numId="56">
    <w:abstractNumId w:val="36"/>
  </w:num>
  <w:num w:numId="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C9D0E41"/>
    <w:rsid w:val="20796DDF"/>
    <w:rsid w:val="285E7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3480</Words>
  <Characters>4070</Characters>
  <TotalTime>7</TotalTime>
  <ScaleCrop>false</ScaleCrop>
  <LinksUpToDate>false</LinksUpToDate>
  <CharactersWithSpaces>4118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2026-01-12T02:08:00Z</dcterms:created>
  <dc:creator>Apache POI</dc:creator>
  <cp:lastModifiedBy>赵恩海</cp:lastModifiedBy>
  <dcterms:modified xsi:type="dcterms:W3CDTF">2026-01-12T02:17:31Z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eyJoZGlkIjoiYjRiNzE1YWFkOTg3MjI2N2NlNzBmZDg5OTUxN2VkNmUiLCJ1c2VySWQiOiI0NjE2MTExMDEifQ==</vt:lpwstr>
  </property>
  <property fmtid="{D5CDD505-2E9C-101B-9397-08002B2CF9AE}" pid="3" name="KSOProductBuildVer">
    <vt:lpwstr>2052-12.1.0.19302</vt:lpwstr>
  </property>
  <property fmtid="{D5CDD505-2E9C-101B-9397-08002B2CF9AE}" pid="4" name="ICV">
    <vt:lpwstr>63B18ADA7351458CA5AA1FA01A145736_12</vt:lpwstr>
  </property>
</Properties>
</file>