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658C" w14:textId="1F6487C9" w:rsidR="004F702F" w:rsidRDefault="004F702F" w:rsidP="004F702F">
      <w:pPr>
        <w:jc w:val="left"/>
        <w:rPr>
          <w:b/>
          <w:bCs/>
          <w:sz w:val="32"/>
          <w:szCs w:val="32"/>
          <w:lang w:val="en-US"/>
        </w:rPr>
      </w:pPr>
    </w:p>
    <w:p w14:paraId="65B38627" w14:textId="220579D6" w:rsidR="002B593B" w:rsidRPr="00EF30E1" w:rsidRDefault="006F7982" w:rsidP="00EF30E1">
      <w:pPr>
        <w:jc w:val="center"/>
        <w:rPr>
          <w:b/>
          <w:bCs/>
          <w:sz w:val="32"/>
          <w:szCs w:val="32"/>
          <w:lang w:val="en-US"/>
        </w:rPr>
      </w:pPr>
      <w:r>
        <w:rPr>
          <w:b/>
          <w:bCs/>
          <w:sz w:val="32"/>
          <w:szCs w:val="32"/>
          <w:lang w:val="en-US"/>
        </w:rPr>
        <w:t>Deye-NTU Plan for RWA and Tokenization</w:t>
      </w:r>
    </w:p>
    <w:p w14:paraId="15707A09" w14:textId="1E5690C7" w:rsidR="002B593B" w:rsidRPr="002B593B" w:rsidRDefault="002B593B" w:rsidP="00EF30E1">
      <w:pPr>
        <w:spacing w:line="480" w:lineRule="auto"/>
        <w:jc w:val="center"/>
        <w:rPr>
          <w:lang w:val="en-US"/>
        </w:rPr>
      </w:pPr>
      <w:r>
        <w:rPr>
          <w:lang w:val="en-US"/>
        </w:rPr>
        <w:t xml:space="preserve">This version: </w:t>
      </w:r>
      <w:r w:rsidR="005C0533">
        <w:rPr>
          <w:lang w:val="en-US"/>
        </w:rPr>
        <w:t>Jan</w:t>
      </w:r>
      <w:r w:rsidR="00ED351D">
        <w:rPr>
          <w:lang w:val="en-US"/>
        </w:rPr>
        <w:t xml:space="preserve"> </w:t>
      </w:r>
      <w:r w:rsidR="00C011D9">
        <w:rPr>
          <w:lang w:val="en-US"/>
        </w:rPr>
        <w:t>20</w:t>
      </w:r>
      <w:r>
        <w:rPr>
          <w:lang w:val="en-US"/>
        </w:rPr>
        <w:t>, 202</w:t>
      </w:r>
      <w:r w:rsidR="005C0533">
        <w:rPr>
          <w:lang w:val="en-US"/>
        </w:rPr>
        <w:t>6</w:t>
      </w:r>
    </w:p>
    <w:p w14:paraId="7556A494" w14:textId="1FA5D1A2" w:rsidR="00C011D9" w:rsidRDefault="00C011D9" w:rsidP="00E220EB">
      <w:pPr>
        <w:pStyle w:val="NormalWeb"/>
        <w:rPr>
          <w:rFonts w:eastAsia="Times New Roman"/>
        </w:rPr>
      </w:pPr>
      <w:r w:rsidRPr="0036364B">
        <w:rPr>
          <w:rFonts w:eastAsia="Times New Roman"/>
          <w:noProof/>
          <w:lang w:val="en-US"/>
        </w:rPr>
        <w:drawing>
          <wp:anchor distT="0" distB="0" distL="114300" distR="114300" simplePos="0" relativeHeight="251667456" behindDoc="0" locked="0" layoutInCell="1" allowOverlap="1" wp14:anchorId="4BCD7CA9" wp14:editId="1150F922">
            <wp:simplePos x="0" y="0"/>
            <wp:positionH relativeFrom="column">
              <wp:posOffset>-39410</wp:posOffset>
            </wp:positionH>
            <wp:positionV relativeFrom="paragraph">
              <wp:posOffset>2094865</wp:posOffset>
            </wp:positionV>
            <wp:extent cx="5731510" cy="5408930"/>
            <wp:effectExtent l="0" t="0" r="0" b="0"/>
            <wp:wrapTopAndBottom/>
            <wp:docPr id="1028395585" name="Picture 1" descr="A diagram of blockchain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95585" name="Picture 1" descr="A diagram of blockchain technolog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408930"/>
                    </a:xfrm>
                    <a:prstGeom prst="rect">
                      <a:avLst/>
                    </a:prstGeom>
                  </pic:spPr>
                </pic:pic>
              </a:graphicData>
            </a:graphic>
            <wp14:sizeRelH relativeFrom="page">
              <wp14:pctWidth>0</wp14:pctWidth>
            </wp14:sizeRelH>
            <wp14:sizeRelV relativeFrom="page">
              <wp14:pctHeight>0</wp14:pctHeight>
            </wp14:sizeRelV>
          </wp:anchor>
        </w:drawing>
      </w:r>
      <w:r w:rsidRPr="00C011D9">
        <w:rPr>
          <w:rFonts w:eastAsia="Times New Roman"/>
        </w:rPr>
        <w:t>Deye’s energy-RWA initiative sits at the intersection of two mature domains</w:t>
      </w:r>
      <w:r>
        <w:rPr>
          <w:rFonts w:eastAsia="Times New Roman"/>
        </w:rPr>
        <w:t xml:space="preserve">, </w:t>
      </w:r>
      <w:r w:rsidRPr="00C011D9">
        <w:rPr>
          <w:rFonts w:eastAsia="Times New Roman"/>
        </w:rPr>
        <w:t>distributed energy deployment and modern blockchain infrastructure</w:t>
      </w:r>
      <w:r>
        <w:rPr>
          <w:rFonts w:eastAsia="Times New Roman"/>
        </w:rPr>
        <w:t xml:space="preserve">, </w:t>
      </w:r>
      <w:r w:rsidRPr="00C011D9">
        <w:rPr>
          <w:rFonts w:eastAsia="Times New Roman"/>
        </w:rPr>
        <w:t>so the question is no longer whether the system can be implemented, but whether it can be implemented in a way that is </w:t>
      </w:r>
      <w:r w:rsidRPr="00C011D9">
        <w:rPr>
          <w:rFonts w:eastAsia="Times New Roman"/>
          <w:i/>
          <w:iCs/>
        </w:rPr>
        <w:t>financeable, scalable, and defensible</w:t>
      </w:r>
      <w:r w:rsidRPr="00C011D9">
        <w:rPr>
          <w:rFonts w:eastAsia="Times New Roman"/>
        </w:rPr>
        <w:t xml:space="preserve"> over a multi-year horizon. In practice, the main obstacles to an investable RWA business line are not “engineering completion,” but the higher-order frictions that determine whether sophisticated capital will participate and whether the product can operate reliably under scrutiny: credibility of real-world data, robustness of cashflow risk assessment, and stability of pricing and liquidity under compliance constraints. These frictions </w:t>
      </w:r>
      <w:r w:rsidRPr="00C011D9">
        <w:rPr>
          <w:rFonts w:eastAsia="Times New Roman"/>
        </w:rPr>
        <w:lastRenderedPageBreak/>
        <w:t>are precisely where a joint lab can create durable value—by converting operational uncertainty into measurable, auditable, and optimizable rules—thereby lowering the cost of capital, reducing dispute and monitoring costs, and increasing the repeatability of deployment across sites and jurisdictions.</w:t>
      </w:r>
    </w:p>
    <w:p w14:paraId="15514EB0" w14:textId="6005E301" w:rsidR="00C011D9" w:rsidRDefault="00C011D9" w:rsidP="00E220EB">
      <w:pPr>
        <w:pStyle w:val="NormalWeb"/>
        <w:rPr>
          <w:rFonts w:eastAsia="Times New Roman"/>
          <w:lang w:val="en-US"/>
        </w:rPr>
      </w:pPr>
      <w:r>
        <w:rPr>
          <w:rFonts w:eastAsia="Times New Roman"/>
        </w:rPr>
        <w:t xml:space="preserve">        </w:t>
      </w:r>
      <w:r w:rsidRPr="00C011D9">
        <w:rPr>
          <w:rFonts w:eastAsia="Times New Roman"/>
        </w:rPr>
        <w:t>The role of the university in this collaboration is therefore to supply </w:t>
      </w:r>
      <w:r w:rsidRPr="00C011D9">
        <w:rPr>
          <w:rFonts w:eastAsia="Times New Roman"/>
          <w:i/>
          <w:iCs/>
        </w:rPr>
        <w:t xml:space="preserve">research-grade methods and evaluation </w:t>
      </w:r>
      <w:proofErr w:type="spellStart"/>
      <w:r w:rsidRPr="00C011D9">
        <w:rPr>
          <w:rFonts w:eastAsia="Times New Roman"/>
          <w:i/>
          <w:iCs/>
        </w:rPr>
        <w:t>standards</w:t>
      </w:r>
      <w:r w:rsidRPr="00C011D9">
        <w:rPr>
          <w:rFonts w:eastAsia="Times New Roman"/>
        </w:rPr>
        <w:t>that</w:t>
      </w:r>
      <w:proofErr w:type="spellEnd"/>
      <w:r w:rsidRPr="00C011D9">
        <w:rPr>
          <w:rFonts w:eastAsia="Times New Roman"/>
        </w:rPr>
        <w:t xml:space="preserve"> industry delivery teams typically do not produce as part of implementation: formal metrics for data trustworthiness and auditability; principled frameworks for downside-risk pricing and stress testing; and compliance-aware market-design tools that quantify liquidity loss and discount/premium </w:t>
      </w:r>
      <w:proofErr w:type="spellStart"/>
      <w:r w:rsidRPr="00C011D9">
        <w:rPr>
          <w:rFonts w:eastAsia="Times New Roman"/>
        </w:rPr>
        <w:t>behavior</w:t>
      </w:r>
      <w:proofErr w:type="spellEnd"/>
      <w:r w:rsidRPr="00C011D9">
        <w:rPr>
          <w:rFonts w:eastAsia="Times New Roman"/>
        </w:rPr>
        <w:t xml:space="preserve"> before public trading is enabled. These outputs are not academic add-ons; they are the decision infrastructure that enables Deye to (</w:t>
      </w:r>
      <w:proofErr w:type="spellStart"/>
      <w:r w:rsidRPr="00C011D9">
        <w:rPr>
          <w:rFonts w:eastAsia="Times New Roman"/>
        </w:rPr>
        <w:t>i</w:t>
      </w:r>
      <w:proofErr w:type="spellEnd"/>
      <w:r w:rsidRPr="00C011D9">
        <w:rPr>
          <w:rFonts w:eastAsia="Times New Roman"/>
        </w:rPr>
        <w:t>) present a credible financing narrative to institutional partners, regulators, and auditors, (ii) harden the system against adverse scenarios and disputes, and (iii) standardize the product into a repeatable, scalable RWA “template” rather than a one-off pilot. The three research directions in this report—</w:t>
      </w:r>
      <w:r w:rsidRPr="00C011D9">
        <w:rPr>
          <w:rFonts w:eastAsia="Times New Roman"/>
          <w:b/>
          <w:bCs/>
        </w:rPr>
        <w:t>(1) Trust and audit for energy-RWA data, (2) Cashflow structuring and risk pricing, and (3) Liquidity and price discovery in a restricted (compliant) market</w:t>
      </w:r>
      <w:r w:rsidRPr="00C011D9">
        <w:rPr>
          <w:rFonts w:eastAsia="Times New Roman"/>
        </w:rPr>
        <w:t>—are chosen to directly strengthen the core performance of the token system and to de-risk the transition from a restricted pilot phase to a broader market phase.</w:t>
      </w:r>
    </w:p>
    <w:p w14:paraId="1A16E3C0" w14:textId="04ECD58B" w:rsidR="00EF30E1" w:rsidRDefault="00C011D9" w:rsidP="00E220EB">
      <w:pPr>
        <w:pStyle w:val="NormalWeb"/>
      </w:pPr>
      <w:r>
        <w:rPr>
          <w:rFonts w:eastAsia="Times New Roman"/>
          <w:lang w:val="en-US"/>
        </w:rPr>
        <w:t xml:space="preserve">        </w:t>
      </w:r>
      <w:r w:rsidR="00E220EB" w:rsidRPr="00E220EB">
        <w:rPr>
          <w:rFonts w:eastAsia="Times New Roman"/>
          <w:lang w:val="en-US"/>
        </w:rPr>
        <w:t>This report</w:t>
      </w:r>
      <w:r w:rsidR="00E220EB">
        <w:rPr>
          <w:rFonts w:eastAsia="Times New Roman"/>
          <w:lang w:val="en-US"/>
        </w:rPr>
        <w:t xml:space="preserve"> firstly</w:t>
      </w:r>
      <w:r w:rsidR="00E220EB" w:rsidRPr="00E220EB">
        <w:rPr>
          <w:rFonts w:eastAsia="Times New Roman"/>
          <w:lang w:val="en-US"/>
        </w:rPr>
        <w:t xml:space="preserve"> outlines</w:t>
      </w:r>
      <w:r w:rsidR="00E220EB">
        <w:rPr>
          <w:rFonts w:eastAsia="Times New Roman"/>
          <w:lang w:val="en-US"/>
        </w:rPr>
        <w:t xml:space="preserve"> the design for Deye’s RWA tokens and reward distribution</w:t>
      </w:r>
      <w:r w:rsidR="00E220EB" w:rsidRPr="00E220EB">
        <w:rPr>
          <w:rFonts w:eastAsia="Times New Roman"/>
          <w:lang w:val="en-US"/>
        </w:rPr>
        <w:t>: issuing asset-backed tokens, verifying production data through an oracle pipeline, and distributing rewards on-chain. It then proposes a token-economics layer that converts the RWA cashflows into a standardized, liquid instrument via a vault and an AMM market, enabling scalable trading and broader investor access.</w:t>
      </w:r>
      <w:r w:rsidR="00A24908">
        <w:rPr>
          <w:rFonts w:eastAsia="Times New Roman"/>
          <w:lang w:val="en-US"/>
        </w:rPr>
        <w:t xml:space="preserve"> </w:t>
      </w:r>
      <w:r w:rsidR="007C0FF8">
        <w:rPr>
          <w:rFonts w:eastAsia="Times New Roman"/>
          <w:lang w:val="en-US"/>
        </w:rPr>
        <w:t>Thirdly</w:t>
      </w:r>
      <w:r w:rsidR="00A24908">
        <w:rPr>
          <w:rFonts w:eastAsia="Times New Roman"/>
          <w:lang w:val="en-US"/>
        </w:rPr>
        <w:t xml:space="preserve">, several research directions of both </w:t>
      </w:r>
      <w:r w:rsidR="00A24908">
        <w:t>academic value and potential for enhancing Deye's token system performance.</w:t>
      </w:r>
      <w:r w:rsidR="007C0FF8">
        <w:t xml:space="preserve"> Finally, the corresponding research timeline is proposed.</w:t>
      </w:r>
    </w:p>
    <w:p w14:paraId="78482C30" w14:textId="649ABF32" w:rsidR="0036364B" w:rsidRPr="00E220EB" w:rsidRDefault="0036364B" w:rsidP="00E220EB">
      <w:pPr>
        <w:pStyle w:val="NormalWeb"/>
        <w:rPr>
          <w:rFonts w:eastAsia="Times New Roman"/>
          <w:lang w:val="en-US"/>
        </w:rPr>
      </w:pPr>
    </w:p>
    <w:p w14:paraId="691FF761" w14:textId="58BA8662" w:rsidR="00746AB5" w:rsidRDefault="00746AB5" w:rsidP="00746AB5">
      <w:pPr>
        <w:pStyle w:val="Heading1"/>
      </w:pPr>
      <w:r>
        <w:lastRenderedPageBreak/>
        <w:t>1. Workflow of RWA Token Issuance and Reward Distribution</w:t>
      </w:r>
    </w:p>
    <w:p w14:paraId="42AFADAA" w14:textId="77777777" w:rsidR="00626381" w:rsidRDefault="00584B64" w:rsidP="00626381">
      <w:pPr>
        <w:keepNext/>
        <w:spacing w:after="0"/>
      </w:pPr>
      <w:r w:rsidRPr="00584B64">
        <w:rPr>
          <w:noProof/>
        </w:rPr>
        <w:drawing>
          <wp:inline distT="0" distB="0" distL="0" distR="0" wp14:anchorId="5DB3E37F" wp14:editId="35ACD1E3">
            <wp:extent cx="5731510" cy="4388485"/>
            <wp:effectExtent l="0" t="0" r="0" b="0"/>
            <wp:docPr id="840585360" name="Picture 1"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5360" name="Picture 1" descr="A diagram of a data system&#10;&#10;AI-generated content may be incorrect."/>
                    <pic:cNvPicPr/>
                  </pic:nvPicPr>
                  <pic:blipFill>
                    <a:blip r:embed="rId9"/>
                    <a:stretch>
                      <a:fillRect/>
                    </a:stretch>
                  </pic:blipFill>
                  <pic:spPr>
                    <a:xfrm>
                      <a:off x="0" y="0"/>
                      <a:ext cx="5731510" cy="4388485"/>
                    </a:xfrm>
                    <a:prstGeom prst="rect">
                      <a:avLst/>
                    </a:prstGeom>
                  </pic:spPr>
                </pic:pic>
              </a:graphicData>
            </a:graphic>
          </wp:inline>
        </w:drawing>
      </w:r>
    </w:p>
    <w:p w14:paraId="15BA10A0" w14:textId="528B62E1" w:rsidR="00584B64" w:rsidRPr="00584B64" w:rsidRDefault="00626381" w:rsidP="00626381">
      <w:pPr>
        <w:pStyle w:val="Caption"/>
        <w:spacing w:before="0"/>
      </w:pPr>
      <w:r>
        <w:t xml:space="preserve">Figure </w:t>
      </w:r>
      <w:fldSimple w:instr=" SEQ Figure \* ARABIC ">
        <w:r w:rsidR="001E03C9">
          <w:rPr>
            <w:noProof/>
          </w:rPr>
          <w:t>1</w:t>
        </w:r>
      </w:fldSimple>
      <w:r>
        <w:t xml:space="preserve"> Workflow of Deye inverter RWA token issuance and reward distribution</w:t>
      </w:r>
    </w:p>
    <w:p w14:paraId="44190A0E" w14:textId="0D7EA14D" w:rsidR="00746AB5" w:rsidRDefault="00746AB5" w:rsidP="001A26B7">
      <w:r w:rsidRPr="00746AB5">
        <w:rPr>
          <w:b/>
          <w:bCs/>
        </w:rPr>
        <w:t xml:space="preserve">Step </w:t>
      </w:r>
      <w:r w:rsidRPr="00746AB5">
        <w:rPr>
          <w:rFonts w:ascii="Cambria Math" w:hAnsi="Cambria Math" w:cs="Cambria Math"/>
          <w:b/>
          <w:bCs/>
          <w:color w:val="0A0A0A"/>
          <w:shd w:val="clear" w:color="auto" w:fill="FFFFFF"/>
        </w:rPr>
        <w:t>① i</w:t>
      </w:r>
      <w:r w:rsidRPr="00746AB5">
        <w:rPr>
          <w:b/>
          <w:bCs/>
        </w:rPr>
        <w:t>nverter</w:t>
      </w:r>
      <w:r w:rsidR="00E236F1">
        <w:rPr>
          <w:b/>
          <w:bCs/>
        </w:rPr>
        <w:t xml:space="preserve"> </w:t>
      </w:r>
      <w:r w:rsidR="00E236F1" w:rsidRPr="00746AB5">
        <w:rPr>
          <w:b/>
          <w:bCs/>
        </w:rPr>
        <w:t>deployment</w:t>
      </w:r>
      <w:r w:rsidR="00E236F1">
        <w:rPr>
          <w:b/>
          <w:bCs/>
        </w:rPr>
        <w:t xml:space="preserve"> and</w:t>
      </w:r>
      <w:r w:rsidRPr="00746AB5">
        <w:rPr>
          <w:b/>
          <w:bCs/>
        </w:rPr>
        <w:t xml:space="preserve"> financing via RWA issuance.</w:t>
      </w:r>
      <w:r>
        <w:rPr>
          <w:b/>
          <w:bCs/>
        </w:rPr>
        <w:t xml:space="preserve"> </w:t>
      </w:r>
      <w:r w:rsidR="00EB4135">
        <w:t xml:space="preserve">In this step, Deye finances the procurement and installation of a distributed fleet of rooftop inverters by issuing RWA tokens on an L2 chain (e.g., Base). The financing design must ensure that token issuance is not a standalone minting event, but a controlled workflow in which (a) each issued token is verifiably linked to a specific physical inverter (or an enforceable security interest in that inverter), (b) token transfers remain compatible with compliance requirements (e.g., KYC-gated circulation and emergency controls), and (c) only “activated” tokens—corresponding to commissioned, verified deployments—are eligible for subsequent </w:t>
      </w:r>
      <w:r w:rsidR="00584B64">
        <w:t>periodically</w:t>
      </w:r>
      <w:r w:rsidR="00EB4135">
        <w:t xml:space="preserve"> USDC reward distribution. Accordingly, the on-chain architecture should be implemented as two auditable contracts: a </w:t>
      </w:r>
      <w:proofErr w:type="spellStart"/>
      <w:r w:rsidR="00E1728B">
        <w:rPr>
          <w:rStyle w:val="HTMLCode"/>
          <w:rFonts w:eastAsiaTheme="majorEastAsia"/>
        </w:rPr>
        <w:t>DeyeRWA</w:t>
      </w:r>
      <w:proofErr w:type="spellEnd"/>
      <w:r w:rsidR="00EB4135">
        <w:t xml:space="preserve"> contract that issues and manages inverter-backed tokens and their lifecycle states (mint/bind/activate/retire) and a </w:t>
      </w:r>
      <w:proofErr w:type="spellStart"/>
      <w:r w:rsidR="00E1728B">
        <w:rPr>
          <w:rStyle w:val="HTMLCode"/>
          <w:rFonts w:eastAsiaTheme="majorEastAsia"/>
        </w:rPr>
        <w:t>RewardDistributor</w:t>
      </w:r>
      <w:proofErr w:type="spellEnd"/>
      <w:r w:rsidR="00EB4135">
        <w:t xml:space="preserve"> contract that custody-holds USDC and executes scalable, non-iterative reward claims, with each period’s distribution </w:t>
      </w:r>
      <w:r w:rsidR="00EB4135">
        <w:lastRenderedPageBreak/>
        <w:t>opening only after the corresponding USDC funding has been irrevocably transferred on-chain.</w:t>
      </w:r>
      <w:r w:rsidR="005C0533">
        <w:t xml:space="preserve"> </w:t>
      </w:r>
      <w:r w:rsidR="00584B64">
        <w:t>The tokens are issued 1:1 for each inverter deployed</w:t>
      </w:r>
      <w:r w:rsidR="001A26B7">
        <w:t>.</w:t>
      </w:r>
    </w:p>
    <w:p w14:paraId="0D93570F" w14:textId="5D71CE8D" w:rsidR="00420381" w:rsidRDefault="00420381" w:rsidP="001A26B7">
      <w:r w:rsidRPr="00420381">
        <w:rPr>
          <w:b/>
          <w:bCs/>
        </w:rPr>
        <w:t xml:space="preserve">Step </w:t>
      </w:r>
      <w:r w:rsidRPr="00420381">
        <w:rPr>
          <w:rFonts w:ascii="Cambria Math" w:hAnsi="Cambria Math" w:cs="Cambria Math"/>
          <w:b/>
          <w:bCs/>
        </w:rPr>
        <w:t>②</w:t>
      </w:r>
      <w:r w:rsidRPr="00420381">
        <w:rPr>
          <w:b/>
          <w:bCs/>
        </w:rPr>
        <w:t xml:space="preserve"> Inverter data communication and oracle attestation (information stream for rewards).</w:t>
      </w:r>
      <w:r>
        <w:rPr>
          <w:b/>
          <w:bCs/>
        </w:rPr>
        <w:t xml:space="preserve"> </w:t>
      </w:r>
      <w:r>
        <w:t xml:space="preserve">After deployment, Deye operates the inverter fleet within a dedicated data communication network that continuously records device-level production and status signals and transforms them into an auditable, on-chain-consumable “reward information stream.” The objective of this step is to (a) collect inverter telemetry at scale across many rooftops, (b) aggregate and normalize it into daily (or periodic) production records suitable for reward computation, (c) anchor the raw/processed dataset in off-chain storage with immutable hashes, and (d) deliver a consensus-attested output to the blockchain via a decentralized oracle network (DON) (e.g., </w:t>
      </w:r>
      <w:proofErr w:type="spellStart"/>
      <w:r>
        <w:t>Chainlink</w:t>
      </w:r>
      <w:proofErr w:type="spellEnd"/>
      <w:r>
        <w:t>) and its router contract (</w:t>
      </w:r>
      <w:proofErr w:type="spellStart"/>
      <w:r w:rsidR="009A1898">
        <w:rPr>
          <w:rStyle w:val="HTMLCode"/>
          <w:rFonts w:eastAsiaTheme="majorEastAsia"/>
        </w:rPr>
        <w:t>FunctionsRouter</w:t>
      </w:r>
      <w:proofErr w:type="spellEnd"/>
      <w:r w:rsidR="009A1898">
        <w:t xml:space="preserve"> smart contract</w:t>
      </w:r>
      <w:r>
        <w:t xml:space="preserve">). This step deliberately concerns </w:t>
      </w:r>
      <w:r w:rsidRPr="00E1728B">
        <w:rPr>
          <w:rStyle w:val="Strong"/>
          <w:b w:val="0"/>
          <w:bCs w:val="0"/>
        </w:rPr>
        <w:t>information integrity rather than cashflow movement</w:t>
      </w:r>
      <w:r>
        <w:t xml:space="preserve">: it ensures that when Step </w:t>
      </w:r>
      <w:r>
        <w:rPr>
          <w:rFonts w:ascii="Cambria Math" w:hAnsi="Cambria Math" w:cs="Cambria Math"/>
        </w:rPr>
        <w:t>③</w:t>
      </w:r>
      <w:r>
        <w:t xml:space="preserve"> later transfers USDC to token holders, the payout amounts are traceable to verifiable energy production data, with clear provenance (device → aggregator → off-chain commitment → DON consensus → on-chain router callback).</w:t>
      </w:r>
    </w:p>
    <w:p w14:paraId="19268E39" w14:textId="1A830D95" w:rsidR="00E1728B" w:rsidRDefault="00E1728B" w:rsidP="001A26B7">
      <w:r w:rsidRPr="00E1728B">
        <w:rPr>
          <w:b/>
          <w:bCs/>
        </w:rPr>
        <w:t xml:space="preserve">Step </w:t>
      </w:r>
      <w:r w:rsidRPr="00E1728B">
        <w:rPr>
          <w:rFonts w:ascii="Cambria Math" w:hAnsi="Cambria Math" w:cs="Cambria Math"/>
          <w:b/>
          <w:bCs/>
        </w:rPr>
        <w:t>③</w:t>
      </w:r>
      <w:r w:rsidRPr="00E1728B">
        <w:rPr>
          <w:b/>
          <w:bCs/>
        </w:rPr>
        <w:t xml:space="preserve"> Cashflow settlement and on-chain reward funding (</w:t>
      </w:r>
      <w:r>
        <w:rPr>
          <w:b/>
          <w:bCs/>
        </w:rPr>
        <w:t>cashflow</w:t>
      </w:r>
      <w:r w:rsidRPr="00E1728B">
        <w:rPr>
          <w:b/>
          <w:bCs/>
        </w:rPr>
        <w:t xml:space="preserve"> stream</w:t>
      </w:r>
      <w:r>
        <w:rPr>
          <w:b/>
          <w:bCs/>
        </w:rPr>
        <w:t xml:space="preserve"> for rewards</w:t>
      </w:r>
      <w:r w:rsidRPr="00E1728B">
        <w:rPr>
          <w:b/>
          <w:bCs/>
        </w:rPr>
        <w:t xml:space="preserve">, parallel to Step </w:t>
      </w:r>
      <w:r w:rsidRPr="00E1728B">
        <w:rPr>
          <w:rFonts w:ascii="Cambria Math" w:hAnsi="Cambria Math" w:cs="Cambria Math"/>
          <w:b/>
          <w:bCs/>
        </w:rPr>
        <w:t>②</w:t>
      </w:r>
      <w:r w:rsidRPr="00E1728B">
        <w:rPr>
          <w:b/>
          <w:bCs/>
        </w:rPr>
        <w:t>).</w:t>
      </w:r>
      <w:r>
        <w:rPr>
          <w:b/>
          <w:bCs/>
        </w:rPr>
        <w:t xml:space="preserve"> </w:t>
      </w:r>
      <w:r>
        <w:t xml:space="preserve">In parallel to Step </w:t>
      </w:r>
      <w:r>
        <w:rPr>
          <w:rFonts w:ascii="Cambria Math" w:hAnsi="Cambria Math" w:cs="Cambria Math"/>
        </w:rPr>
        <w:t>②</w:t>
      </w:r>
      <w:r>
        <w:t xml:space="preserve">’s on-chain recording of production and reward information, Step </w:t>
      </w:r>
      <w:r>
        <w:rPr>
          <w:rFonts w:ascii="Cambria Math" w:hAnsi="Cambria Math" w:cs="Cambria Math"/>
        </w:rPr>
        <w:t>③</w:t>
      </w:r>
      <w:r>
        <w:t xml:space="preserve"> governs the real-world cashflow lifecycle from electricity sales to on-chain USDC funding. The objective is to (a) realize monetization of generated electricity through contractual sale arrangements, (b) convert the resulting fiat proceeds into stablecoins and deliver them on-chain to the </w:t>
      </w:r>
      <w:proofErr w:type="spellStart"/>
      <w:r>
        <w:rPr>
          <w:rStyle w:val="HTMLCode"/>
          <w:rFonts w:eastAsiaTheme="majorEastAsia"/>
        </w:rPr>
        <w:t>RewardDistributor</w:t>
      </w:r>
      <w:proofErr w:type="spellEnd"/>
      <w:r>
        <w:t xml:space="preserve"> contract, and (c) enforce consistency between “what was produced and recorded” (Step </w:t>
      </w:r>
      <w:r>
        <w:rPr>
          <w:rFonts w:ascii="Cambria Math" w:hAnsi="Cambria Math" w:cs="Cambria Math"/>
        </w:rPr>
        <w:t>②</w:t>
      </w:r>
      <w:r>
        <w:t xml:space="preserve">) and “what is paid out” (Step </w:t>
      </w:r>
      <w:r>
        <w:rPr>
          <w:rFonts w:ascii="Cambria Math" w:hAnsi="Cambria Math" w:cs="Cambria Math"/>
        </w:rPr>
        <w:t>③</w:t>
      </w:r>
      <w:r>
        <w:t>) through explicit reconciliation rules, audit trails, and on-chain solvency constraints. This separation—information stream vs. money stream—ensures that reward eligibility is determined by verifiable telemetry commitments, while payout execution is constrained by actually received and escrowed stablecoins.</w:t>
      </w:r>
    </w:p>
    <w:p w14:paraId="380F1E39" w14:textId="79F86225" w:rsidR="00E1728B" w:rsidRDefault="00E1728B" w:rsidP="001A26B7">
      <w:r w:rsidRPr="00E1728B">
        <w:rPr>
          <w:b/>
          <w:bCs/>
        </w:rPr>
        <w:t xml:space="preserve">Step </w:t>
      </w:r>
      <w:r w:rsidRPr="00E1728B">
        <w:rPr>
          <w:rFonts w:ascii="Cambria Math" w:hAnsi="Cambria Math" w:cs="Cambria Math"/>
          <w:b/>
          <w:bCs/>
        </w:rPr>
        <w:t>④</w:t>
      </w:r>
      <w:r w:rsidRPr="00E1728B">
        <w:rPr>
          <w:b/>
          <w:bCs/>
        </w:rPr>
        <w:t xml:space="preserve"> On-chain accounting update and investor reward claiming (execution layer).</w:t>
      </w:r>
      <w:r>
        <w:rPr>
          <w:b/>
          <w:bCs/>
        </w:rPr>
        <w:t xml:space="preserve"> </w:t>
      </w:r>
      <w:r>
        <w:t xml:space="preserve">At this stage, both (a) the oracle-attested reward information from Step </w:t>
      </w:r>
      <w:r>
        <w:rPr>
          <w:rFonts w:ascii="Cambria Math" w:hAnsi="Cambria Math" w:cs="Cambria Math"/>
        </w:rPr>
        <w:t>②</w:t>
      </w:r>
      <w:r>
        <w:t xml:space="preserve"> and (b) the funded stablecoin cashflow from Step </w:t>
      </w:r>
      <w:r>
        <w:rPr>
          <w:rFonts w:ascii="Cambria Math" w:hAnsi="Cambria Math" w:cs="Cambria Math"/>
        </w:rPr>
        <w:t>③</w:t>
      </w:r>
      <w:r>
        <w:t xml:space="preserve"> are available on-chain. Step </w:t>
      </w:r>
      <w:r>
        <w:rPr>
          <w:rFonts w:ascii="Cambria Math" w:hAnsi="Cambria Math" w:cs="Cambria Math"/>
        </w:rPr>
        <w:t>④</w:t>
      </w:r>
      <w:r>
        <w:t xml:space="preserve"> specifies how </w:t>
      </w:r>
      <w:proofErr w:type="spellStart"/>
      <w:r>
        <w:rPr>
          <w:rStyle w:val="HTMLCode"/>
          <w:rFonts w:eastAsiaTheme="majorEastAsia"/>
        </w:rPr>
        <w:t>DeyeRWA</w:t>
      </w:r>
      <w:proofErr w:type="spellEnd"/>
      <w:r>
        <w:t xml:space="preserve"> (the ERC-3525 main contract) and </w:t>
      </w:r>
      <w:proofErr w:type="spellStart"/>
      <w:r>
        <w:rPr>
          <w:rStyle w:val="HTMLCode"/>
          <w:rFonts w:eastAsiaTheme="majorEastAsia"/>
        </w:rPr>
        <w:t>RewardDistributor</w:t>
      </w:r>
      <w:proofErr w:type="spellEnd"/>
      <w:r>
        <w:t xml:space="preserve"> (the USDC vault/claim contract) are updated in a synchronized manner and how investors claim rewards. The recommended implementation is a </w:t>
      </w:r>
      <w:r w:rsidRPr="00E1728B">
        <w:rPr>
          <w:rStyle w:val="Strong"/>
          <w:b w:val="0"/>
          <w:bCs w:val="0"/>
        </w:rPr>
        <w:t>Merkle-entitlement distribution model</w:t>
      </w:r>
      <w:r>
        <w:t xml:space="preserve">: for each day/period, the oracle </w:t>
      </w:r>
      <w:r>
        <w:lastRenderedPageBreak/>
        <w:t>pipeline produces (</w:t>
      </w:r>
      <w:proofErr w:type="spellStart"/>
      <w:r>
        <w:t>i</w:t>
      </w:r>
      <w:proofErr w:type="spellEnd"/>
      <w:r>
        <w:t xml:space="preserve">) a production commitment (batch hash / Merkle root over inverter records) for auditability and (ii) a </w:t>
      </w:r>
      <w:r>
        <w:rPr>
          <w:rStyle w:val="Emphasis"/>
        </w:rPr>
        <w:t>payout entitlement Merkle root</w:t>
      </w:r>
      <w:r>
        <w:t xml:space="preserve"> over </w:t>
      </w:r>
      <w:r>
        <w:rPr>
          <w:rStyle w:val="HTMLCode"/>
          <w:rFonts w:eastAsiaTheme="majorEastAsia"/>
        </w:rPr>
        <w:t>(</w:t>
      </w:r>
      <w:proofErr w:type="spellStart"/>
      <w:r>
        <w:rPr>
          <w:rStyle w:val="HTMLCode"/>
          <w:rFonts w:eastAsiaTheme="majorEastAsia"/>
        </w:rPr>
        <w:t>claimerAddress</w:t>
      </w:r>
      <w:proofErr w:type="spellEnd"/>
      <w:r>
        <w:rPr>
          <w:rStyle w:val="HTMLCode"/>
          <w:rFonts w:eastAsiaTheme="majorEastAsia"/>
        </w:rPr>
        <w:t>, amount)</w:t>
      </w:r>
      <w:r>
        <w:t xml:space="preserve"> for scalable claiming. This approach is preferred because it avoids on-chain holder enumeration and avoids relying on balance snapshots of an ERC-3525 token across many </w:t>
      </w:r>
      <w:proofErr w:type="spellStart"/>
      <w:r>
        <w:t>tokenIds</w:t>
      </w:r>
      <w:proofErr w:type="spellEnd"/>
      <w:r>
        <w:t>; it scales cleanly to mixed investors and frequent distributions while preserving verifiability through cryptographic commitments anchored on-chain.</w:t>
      </w:r>
    </w:p>
    <w:p w14:paraId="0B368DFD" w14:textId="48C67B44" w:rsidR="00983A9B" w:rsidRDefault="00983A9B" w:rsidP="00983A9B">
      <w:pPr>
        <w:pStyle w:val="Heading1"/>
      </w:pPr>
      <w:r>
        <w:t xml:space="preserve">2. </w:t>
      </w:r>
      <w:r w:rsidR="00970D9E">
        <w:t>Token Economics</w:t>
      </w:r>
      <w:r>
        <w:t xml:space="preserve"> and Liquidity Enhancing</w:t>
      </w:r>
    </w:p>
    <w:p w14:paraId="7082CA6F" w14:textId="3FED332E" w:rsidR="00A769DE" w:rsidRDefault="00A769DE" w:rsidP="00A769DE">
      <w:pPr>
        <w:rPr>
          <w:lang w:val="en-US"/>
        </w:rPr>
      </w:pPr>
      <w:r w:rsidRPr="00A769DE">
        <w:rPr>
          <w:lang w:val="en-US"/>
        </w:rPr>
        <w:t>The issuance-stage RWA design prioritizes asset precision and verifiability: under the preferred ERC-3525 standard, each token is bound to an individual inverter and thus carries device-specific attributes</w:t>
      </w:r>
      <w:r>
        <w:rPr>
          <w:lang w:val="en-US"/>
        </w:rPr>
        <w:t xml:space="preserve">. </w:t>
      </w:r>
      <w:r w:rsidRPr="00A769DE">
        <w:rPr>
          <w:lang w:val="en-US"/>
        </w:rPr>
        <w:t>While this strengthens traceability and compliance, it also introduces</w:t>
      </w:r>
      <w:r>
        <w:rPr>
          <w:lang w:val="en-US"/>
        </w:rPr>
        <w:t xml:space="preserve"> </w:t>
      </w:r>
      <w:r w:rsidRPr="00A769DE">
        <w:rPr>
          <w:lang w:val="en-US"/>
        </w:rPr>
        <w:t xml:space="preserve">heterogeneity at the token level, which is difficult for the </w:t>
      </w:r>
      <w:proofErr w:type="gramStart"/>
      <w:r w:rsidRPr="00A769DE">
        <w:rPr>
          <w:lang w:val="en-US"/>
        </w:rPr>
        <w:t>general public</w:t>
      </w:r>
      <w:proofErr w:type="gramEnd"/>
      <w:r w:rsidRPr="00A769DE">
        <w:rPr>
          <w:lang w:val="en-US"/>
        </w:rPr>
        <w:t xml:space="preserve"> to interpret and price. Retail investors typically cannot evaluate hundreds of inverter-level </w:t>
      </w:r>
      <w:proofErr w:type="gramStart"/>
      <w:r w:rsidRPr="00A769DE">
        <w:rPr>
          <w:lang w:val="en-US"/>
        </w:rPr>
        <w:t>risk</w:t>
      </w:r>
      <w:proofErr w:type="gramEnd"/>
      <w:r w:rsidRPr="00A769DE">
        <w:rPr>
          <w:lang w:val="en-US"/>
        </w:rPr>
        <w:t>–return profiles, verify device-level evidence, or manage individualized reward accounting. As a result, the native ERC-3525 layer is well suited for institutional financing and custody-grade asset representation, but it is not, by itself, an efficient market interface for broad participation.</w:t>
      </w:r>
    </w:p>
    <w:p w14:paraId="088C5979" w14:textId="063C2CCB" w:rsidR="00626381" w:rsidRPr="0076606E" w:rsidRDefault="0076606E" w:rsidP="00626381">
      <w:pPr>
        <w:rPr>
          <w:lang w:val="en-US"/>
        </w:rPr>
      </w:pPr>
      <w:r>
        <w:t xml:space="preserve">       This gap can be addressed by an explicit </w:t>
      </w:r>
      <w:r w:rsidRPr="0076606E">
        <w:rPr>
          <w:rStyle w:val="Strong"/>
          <w:b w:val="0"/>
          <w:bCs w:val="0"/>
        </w:rPr>
        <w:t>token-economics and DeFi-integrated layer</w:t>
      </w:r>
      <w:r>
        <w:t xml:space="preserve"> that transforms heterogeneous, device-level cashflows into a </w:t>
      </w:r>
      <w:r w:rsidRPr="0076606E">
        <w:rPr>
          <w:rStyle w:val="Strong"/>
          <w:b w:val="0"/>
          <w:bCs w:val="0"/>
        </w:rPr>
        <w:t>standardized, fungible economic exposure</w:t>
      </w:r>
      <w:r>
        <w:t xml:space="preserve">. Rather than forcing the market to price thousands of distinct </w:t>
      </w:r>
      <w:proofErr w:type="spellStart"/>
      <w:r>
        <w:t>tokenIds</w:t>
      </w:r>
      <w:proofErr w:type="spellEnd"/>
      <w:r>
        <w:t>, a vault pools the underlying ERC-3525 RWAs, internalizes the reward stream at the portfolio level, and issues a single ERC-20 receipt token whose value appreciates with the vault’s NAV. By listing this receipt token in an AMM pool against USDC, the design provides continuous liquidity and straightforward price discovery, making the product both tradable for institutions and accessible for retail investors through familiar DeFi primitives.</w:t>
      </w:r>
    </w:p>
    <w:p w14:paraId="79826375" w14:textId="77777777" w:rsidR="00626381" w:rsidRDefault="00626381" w:rsidP="00626381">
      <w:pPr>
        <w:keepNext/>
        <w:spacing w:after="0"/>
      </w:pPr>
      <w:r w:rsidRPr="00626381">
        <w:rPr>
          <w:noProof/>
        </w:rPr>
        <w:lastRenderedPageBreak/>
        <w:drawing>
          <wp:inline distT="0" distB="0" distL="0" distR="0" wp14:anchorId="5B0C6864" wp14:editId="61F8F11D">
            <wp:extent cx="5731510" cy="6356350"/>
            <wp:effectExtent l="0" t="0" r="0" b="0"/>
            <wp:docPr id="2109526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6263" name="Picture 1" descr="A screenshot of a computer&#10;&#10;AI-generated content may be incorrect."/>
                    <pic:cNvPicPr/>
                  </pic:nvPicPr>
                  <pic:blipFill>
                    <a:blip r:embed="rId10"/>
                    <a:stretch>
                      <a:fillRect/>
                    </a:stretch>
                  </pic:blipFill>
                  <pic:spPr>
                    <a:xfrm>
                      <a:off x="0" y="0"/>
                      <a:ext cx="5731510" cy="6356350"/>
                    </a:xfrm>
                    <a:prstGeom prst="rect">
                      <a:avLst/>
                    </a:prstGeom>
                  </pic:spPr>
                </pic:pic>
              </a:graphicData>
            </a:graphic>
          </wp:inline>
        </w:drawing>
      </w:r>
    </w:p>
    <w:p w14:paraId="292576EB" w14:textId="4314EA3B" w:rsidR="00626381" w:rsidRPr="00626381" w:rsidRDefault="00626381" w:rsidP="00626381">
      <w:pPr>
        <w:pStyle w:val="Caption"/>
        <w:spacing w:before="0"/>
      </w:pPr>
      <w:r>
        <w:t xml:space="preserve">Figure </w:t>
      </w:r>
      <w:fldSimple w:instr=" SEQ Figure \* ARABIC ">
        <w:r w:rsidR="001E03C9">
          <w:rPr>
            <w:noProof/>
          </w:rPr>
          <w:t>2</w:t>
        </w:r>
      </w:fldSimple>
      <w:r>
        <w:t xml:space="preserve"> Deye RWA token economics design and circulation</w:t>
      </w:r>
    </w:p>
    <w:p w14:paraId="223558FC" w14:textId="77FB18D6" w:rsidR="0076606E" w:rsidRDefault="0076606E" w:rsidP="0076606E">
      <w:pPr>
        <w:pStyle w:val="NormalWeb"/>
      </w:pPr>
      <w:r w:rsidRPr="0076606E">
        <w:rPr>
          <w:b/>
          <w:bCs/>
        </w:rPr>
        <w:t xml:space="preserve">Step </w:t>
      </w:r>
      <w:r w:rsidRPr="0076606E">
        <w:rPr>
          <w:rFonts w:ascii="Cambria Math" w:hAnsi="Cambria Math" w:cs="Cambria Math"/>
          <w:b/>
          <w:bCs/>
        </w:rPr>
        <w:t>①</w:t>
      </w:r>
      <w:r w:rsidRPr="0076606E">
        <w:rPr>
          <w:b/>
          <w:bCs/>
        </w:rPr>
        <w:t xml:space="preserve"> Institutional staking into the RWA Vault and liquidity seeding of the </w:t>
      </w:r>
      <w:proofErr w:type="spellStart"/>
      <w:r w:rsidRPr="0076606E">
        <w:rPr>
          <w:b/>
          <w:bCs/>
        </w:rPr>
        <w:t>vRWA</w:t>
      </w:r>
      <w:proofErr w:type="spellEnd"/>
      <w:r w:rsidRPr="0076606E">
        <w:rPr>
          <w:b/>
          <w:bCs/>
        </w:rPr>
        <w:t>/USDC pool.</w:t>
      </w:r>
      <w:r>
        <w:rPr>
          <w:b/>
          <w:bCs/>
        </w:rPr>
        <w:t xml:space="preserve"> </w:t>
      </w:r>
      <w:r w:rsidRPr="0076606E">
        <w:rPr>
          <w:rFonts w:eastAsia="Times New Roman"/>
          <w:lang w:val="en-US"/>
        </w:rPr>
        <w:t>In this step, Deye introduces a secondary “</w:t>
      </w:r>
      <w:proofErr w:type="spellStart"/>
      <w:r w:rsidRPr="0076606E">
        <w:rPr>
          <w:rFonts w:eastAsia="Times New Roman"/>
          <w:lang w:val="en-US"/>
        </w:rPr>
        <w:t>tokenomics</w:t>
      </w:r>
      <w:proofErr w:type="spellEnd"/>
      <w:r w:rsidRPr="0076606E">
        <w:rPr>
          <w:rFonts w:eastAsia="Times New Roman"/>
          <w:lang w:val="en-US"/>
        </w:rPr>
        <w:t xml:space="preserve"> layer” on top of the native inverter-backed RWA token by (a) allowing institutional investors who hold the issued RWA token (ERC-3525) to stake those positions into an on-chain RWA Vault, and (b) minting an ERC-20 receipt/share token (</w:t>
      </w:r>
      <w:proofErr w:type="spellStart"/>
      <w:r w:rsidRPr="0076606E">
        <w:rPr>
          <w:rFonts w:eastAsia="Times New Roman"/>
          <w:lang w:val="en-US"/>
        </w:rPr>
        <w:t>vRWA</w:t>
      </w:r>
      <w:proofErr w:type="spellEnd"/>
      <w:r w:rsidRPr="0076606E">
        <w:rPr>
          <w:rFonts w:eastAsia="Times New Roman"/>
          <w:lang w:val="en-US"/>
        </w:rPr>
        <w:t xml:space="preserve">) that represents a pro-rata claim on the Vault’s assets and accumulated rewards. The Vault is designed so that </w:t>
      </w:r>
      <w:r>
        <w:rPr>
          <w:rFonts w:eastAsia="Times New Roman"/>
          <w:lang w:val="en-US"/>
        </w:rPr>
        <w:t>periodically</w:t>
      </w:r>
      <w:r w:rsidRPr="0076606E">
        <w:rPr>
          <w:rFonts w:eastAsia="Times New Roman"/>
          <w:lang w:val="en-US"/>
        </w:rPr>
        <w:t xml:space="preserve"> USDC rewards, which would otherwise be claimed directly by native RWA holders, are instead claimed by the Vault and retained within it; consequently, the economic value of </w:t>
      </w:r>
      <w:proofErr w:type="spellStart"/>
      <w:r w:rsidRPr="0076606E">
        <w:rPr>
          <w:rFonts w:eastAsia="Times New Roman"/>
          <w:lang w:val="en-US"/>
        </w:rPr>
        <w:t>vRWA</w:t>
      </w:r>
      <w:proofErr w:type="spellEnd"/>
      <w:r w:rsidRPr="0076606E">
        <w:rPr>
          <w:rFonts w:eastAsia="Times New Roman"/>
          <w:lang w:val="en-US"/>
        </w:rPr>
        <w:t xml:space="preserve"> is intended to increase </w:t>
      </w:r>
      <w:r w:rsidRPr="0076606E">
        <w:rPr>
          <w:rFonts w:eastAsia="Times New Roman"/>
          <w:lang w:val="en-US"/>
        </w:rPr>
        <w:lastRenderedPageBreak/>
        <w:t xml:space="preserve">over time (via NAV/share appreciation) rather than requiring retail users to actively claim rewards. To provide continuous secondary-market access for smaller investors, a </w:t>
      </w:r>
      <w:proofErr w:type="spellStart"/>
      <w:r w:rsidRPr="0076606E">
        <w:rPr>
          <w:rFonts w:eastAsia="Times New Roman"/>
          <w:lang w:val="en-US"/>
        </w:rPr>
        <w:t>vRWA</w:t>
      </w:r>
      <w:proofErr w:type="spellEnd"/>
      <w:r w:rsidRPr="0076606E">
        <w:rPr>
          <w:rFonts w:eastAsia="Times New Roman"/>
          <w:lang w:val="en-US"/>
        </w:rPr>
        <w:t xml:space="preserve">/USDC AMM pool is created, seeded with initial liquidity (protocol-owned or institution-provided), enabling retail </w:t>
      </w:r>
      <w:proofErr w:type="gramStart"/>
      <w:r w:rsidRPr="0076606E">
        <w:rPr>
          <w:rFonts w:eastAsia="Times New Roman"/>
          <w:lang w:val="en-US"/>
        </w:rPr>
        <w:t>buy/sell</w:t>
      </w:r>
      <w:proofErr w:type="gramEnd"/>
      <w:r w:rsidRPr="0076606E">
        <w:rPr>
          <w:rFonts w:eastAsia="Times New Roman"/>
          <w:lang w:val="en-US"/>
        </w:rPr>
        <w:t xml:space="preserve"> of </w:t>
      </w:r>
      <w:proofErr w:type="spellStart"/>
      <w:r w:rsidRPr="0076606E">
        <w:rPr>
          <w:rFonts w:eastAsia="Times New Roman"/>
          <w:lang w:val="en-US"/>
        </w:rPr>
        <w:t>vRWA</w:t>
      </w:r>
      <w:proofErr w:type="spellEnd"/>
      <w:r w:rsidRPr="0076606E">
        <w:rPr>
          <w:rFonts w:eastAsia="Times New Roman"/>
          <w:lang w:val="en-US"/>
        </w:rPr>
        <w:t xml:space="preserve"> using USDC while the underlying native RWA remains held and managed by the Vault.</w:t>
      </w:r>
      <w:r w:rsidR="001F298A">
        <w:rPr>
          <w:rFonts w:eastAsia="Times New Roman"/>
          <w:lang w:val="en-US"/>
        </w:rPr>
        <w:t xml:space="preserve"> </w:t>
      </w:r>
      <w:r w:rsidR="001F298A">
        <w:t xml:space="preserve">Economically, the pool enables price discovery of </w:t>
      </w:r>
      <w:proofErr w:type="spellStart"/>
      <w:r w:rsidR="001F298A">
        <w:t>vRWA</w:t>
      </w:r>
      <w:proofErr w:type="spellEnd"/>
      <w:r w:rsidR="001F298A">
        <w:t xml:space="preserve">, but the intended “fundamental anchor” remains the Vault’s NAV per share. When </w:t>
      </w:r>
      <w:proofErr w:type="spellStart"/>
      <w:r w:rsidR="001F298A">
        <w:t>vRWA</w:t>
      </w:r>
      <w:proofErr w:type="spellEnd"/>
      <w:r w:rsidR="001F298A">
        <w:t xml:space="preserve"> trades below NAV (discount), economically rational actors may buy </w:t>
      </w:r>
      <w:proofErr w:type="spellStart"/>
      <w:r w:rsidR="001F298A">
        <w:t>vRWA</w:t>
      </w:r>
      <w:proofErr w:type="spellEnd"/>
      <w:r w:rsidR="001F298A">
        <w:t xml:space="preserve"> and redeem against the Vault (if redemption is available), pushing price back toward NAV; when </w:t>
      </w:r>
      <w:proofErr w:type="spellStart"/>
      <w:r w:rsidR="001F298A">
        <w:t>vRWA</w:t>
      </w:r>
      <w:proofErr w:type="spellEnd"/>
      <w:r w:rsidR="001F298A">
        <w:t xml:space="preserve"> trades above NAV (premium), institutions or the protocol can mint </w:t>
      </w:r>
      <w:proofErr w:type="spellStart"/>
      <w:r w:rsidR="001F298A">
        <w:t>vRWA</w:t>
      </w:r>
      <w:proofErr w:type="spellEnd"/>
      <w:r w:rsidR="001F298A">
        <w:t xml:space="preserve"> by depositing additional underlying RWA into the Vault and sell into the pool, increasing supply and compressing the premium.</w:t>
      </w:r>
    </w:p>
    <w:p w14:paraId="24A700AF" w14:textId="2DAB462C" w:rsidR="001F298A" w:rsidRDefault="001F298A" w:rsidP="0076606E">
      <w:pPr>
        <w:pStyle w:val="NormalWeb"/>
      </w:pPr>
      <w:r w:rsidRPr="001F298A">
        <w:rPr>
          <w:b/>
          <w:bCs/>
        </w:rPr>
        <w:t xml:space="preserve">Step </w:t>
      </w:r>
      <w:r w:rsidRPr="001F298A">
        <w:rPr>
          <w:rFonts w:ascii="Cambria Math" w:hAnsi="Cambria Math" w:cs="Cambria Math"/>
          <w:b/>
          <w:bCs/>
        </w:rPr>
        <w:t>②</w:t>
      </w:r>
      <w:r>
        <w:rPr>
          <w:b/>
          <w:bCs/>
        </w:rPr>
        <w:t xml:space="preserve"> and </w:t>
      </w:r>
      <w:r w:rsidRPr="001F298A">
        <w:rPr>
          <w:rFonts w:ascii="Cambria Math" w:hAnsi="Cambria Math" w:cs="Cambria Math"/>
          <w:b/>
          <w:bCs/>
        </w:rPr>
        <w:t>③</w:t>
      </w:r>
      <w:r w:rsidRPr="001F298A">
        <w:rPr>
          <w:b/>
          <w:bCs/>
        </w:rPr>
        <w:t xml:space="preserve"> Token-economics operation and market-making (vault accrual, arbitrage anchoring, and retail trading).</w:t>
      </w:r>
      <w:r>
        <w:rPr>
          <w:b/>
          <w:bCs/>
        </w:rPr>
        <w:t xml:space="preserve"> </w:t>
      </w:r>
      <w:r>
        <w:t>After institutional RWAs are staked, the RWA Vault becomes the on-chain “economic transformer” that (</w:t>
      </w:r>
      <w:proofErr w:type="spellStart"/>
      <w:r>
        <w:t>i</w:t>
      </w:r>
      <w:proofErr w:type="spellEnd"/>
      <w:r>
        <w:t xml:space="preserve">) continuously captures the inverter-generated USDC rewards and internalizes them into vault NAV (so </w:t>
      </w:r>
      <w:proofErr w:type="spellStart"/>
      <w:r>
        <w:t>vRWA</w:t>
      </w:r>
      <w:proofErr w:type="spellEnd"/>
      <w:r>
        <w:t xml:space="preserve"> appreciates), and (ii) interacts—directly or indirectly through arbitrage—with the </w:t>
      </w:r>
      <w:proofErr w:type="spellStart"/>
      <w:r>
        <w:t>vRWA</w:t>
      </w:r>
      <w:proofErr w:type="spellEnd"/>
      <w:r>
        <w:t xml:space="preserve">/USDC AMM pool to keep the market price of </w:t>
      </w:r>
      <w:proofErr w:type="spellStart"/>
      <w:r>
        <w:t>vRWA</w:t>
      </w:r>
      <w:proofErr w:type="spellEnd"/>
      <w:r>
        <w:t xml:space="preserve"> disciplined around its fundamental value. Retail users then access exposure by trading </w:t>
      </w:r>
      <w:proofErr w:type="spellStart"/>
      <w:r>
        <w:t>vRWA</w:t>
      </w:r>
      <w:proofErr w:type="spellEnd"/>
      <w:r>
        <w:t xml:space="preserve"> in the AMM pool; the trading activity generates fees, which can be routed back to the vault (increasing NAV) or distributed as an additional incentive to long-term </w:t>
      </w:r>
      <w:proofErr w:type="spellStart"/>
      <w:r>
        <w:t>stakers</w:t>
      </w:r>
      <w:proofErr w:type="spellEnd"/>
      <w:r>
        <w:t>, thereby creating a self-reinforcing liquidity loop.</w:t>
      </w:r>
    </w:p>
    <w:p w14:paraId="34089E5C" w14:textId="67495A90" w:rsidR="00F424A7" w:rsidRDefault="00EF0A6F" w:rsidP="00F424A7">
      <w:pPr>
        <w:pStyle w:val="Heading1"/>
      </w:pPr>
      <w:r>
        <w:t>3. Potential Research Directions</w:t>
      </w:r>
    </w:p>
    <w:p w14:paraId="52469968" w14:textId="5B15558C" w:rsidR="00E633A7" w:rsidRPr="00E633A7" w:rsidRDefault="00E633A7" w:rsidP="00E633A7">
      <w:pPr>
        <w:pStyle w:val="Heading2"/>
      </w:pPr>
      <w:r>
        <w:t>3.1. Trust and Audit for Energy-RWA Data</w:t>
      </w:r>
    </w:p>
    <w:p w14:paraId="7BFBE20F" w14:textId="4411FC31" w:rsidR="00E633A7" w:rsidRDefault="00E633A7" w:rsidP="00E220EB">
      <w:r>
        <w:t xml:space="preserve">In an inverter-backed energy RWA system, the credibility of the token ultimately depends on the credibility of the underlying production and settlement data used to compute cashflows. This requirement is operationally demanding in distributed rooftop deployments: telemetry can be noisy or missing due to connectivity outages, devices may experience sensor drift or resets, and inconsistencies can arise across data sources (inverter readings, revenue-grade meters, irradiance signals, and settlement records). Because rewards are computed mechanically from these inputs, even moderate data quality issues can translate into payout errors, elevated dispute </w:t>
      </w:r>
      <w:r>
        <w:rPr>
          <w:noProof/>
        </w:rPr>
        <w:lastRenderedPageBreak/>
        <mc:AlternateContent>
          <mc:Choice Requires="wps">
            <w:drawing>
              <wp:anchor distT="0" distB="0" distL="114300" distR="114300" simplePos="0" relativeHeight="251660288" behindDoc="0" locked="0" layoutInCell="1" allowOverlap="1" wp14:anchorId="0083B4E5" wp14:editId="1851AB47">
                <wp:simplePos x="0" y="0"/>
                <wp:positionH relativeFrom="column">
                  <wp:posOffset>0</wp:posOffset>
                </wp:positionH>
                <wp:positionV relativeFrom="paragraph">
                  <wp:posOffset>4331115</wp:posOffset>
                </wp:positionV>
                <wp:extent cx="5731510" cy="635"/>
                <wp:effectExtent l="0" t="0" r="0" b="12065"/>
                <wp:wrapTopAndBottom/>
                <wp:docPr id="178045381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77D0424" w14:textId="6DC9697A" w:rsidR="00E633A7" w:rsidRPr="00454590" w:rsidRDefault="00E633A7" w:rsidP="00E633A7">
                            <w:pPr>
                              <w:pStyle w:val="Caption"/>
                            </w:pPr>
                            <w:r>
                              <w:t xml:space="preserve">Figure </w:t>
                            </w:r>
                            <w:fldSimple w:instr=" SEQ Figure \* ARABIC ">
                              <w:r w:rsidR="001E03C9">
                                <w:rPr>
                                  <w:noProof/>
                                </w:rPr>
                                <w:t>3</w:t>
                              </w:r>
                            </w:fldSimple>
                            <w:r w:rsidRPr="00E633A7">
                              <w:t xml:space="preserve"> </w:t>
                            </w:r>
                            <w:r w:rsidR="002D4841">
                              <w:t xml:space="preserve">Research Direction: </w:t>
                            </w:r>
                            <w:r w:rsidRPr="00E633A7">
                              <w:t xml:space="preserve">Trust </w:t>
                            </w:r>
                            <w:r>
                              <w:t>and</w:t>
                            </w:r>
                            <w:r w:rsidRPr="00E633A7">
                              <w:t xml:space="preserve"> Audit for Energy-RWA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83B4E5" id="_x0000_t202" coordsize="21600,21600" o:spt="202" path="m,l,21600r21600,l21600,xe">
                <v:stroke joinstyle="miter"/>
                <v:path gradientshapeok="t" o:connecttype="rect"/>
              </v:shapetype>
              <v:shape id="Text Box 1" o:spid="_x0000_s1026" type="#_x0000_t202" style="position:absolute;left:0;text-align:left;margin-left:0;margin-top:341.0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IZPFQIAADgEAAAOAAAAZHJzL2Uyb0RvYy54bWysU8Fu2zAMvQ/YPwi6L05apBu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SZvzj7ez+YxSknJ3t/O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" stroked="f">
                <v:textbox style="mso-fit-shape-to-text:t" inset="0,0,0,0">
                  <w:txbxContent>
                    <w:p w14:paraId="677D0424" w14:textId="6DC9697A" w:rsidR="00E633A7" w:rsidRPr="00454590" w:rsidRDefault="00E633A7" w:rsidP="00E633A7">
                      <w:pPr>
                        <w:pStyle w:val="Caption"/>
                      </w:pPr>
                      <w:r>
                        <w:t xml:space="preserve">Figure </w:t>
                      </w:r>
                      <w:r w:rsidR="001E03C9">
                        <w:fldChar w:fldCharType="begin"/>
                      </w:r>
                      <w:r w:rsidR="001E03C9">
                        <w:instrText xml:space="preserve"> SEQ Figure \* ARABIC </w:instrText>
                      </w:r>
                      <w:r w:rsidR="001E03C9">
                        <w:fldChar w:fldCharType="separate"/>
                      </w:r>
                      <w:r w:rsidR="001E03C9">
                        <w:rPr>
                          <w:noProof/>
                        </w:rPr>
                        <w:t>3</w:t>
                      </w:r>
                      <w:r w:rsidR="001E03C9">
                        <w:rPr>
                          <w:noProof/>
                        </w:rPr>
                        <w:fldChar w:fldCharType="end"/>
                      </w:r>
                      <w:r w:rsidRPr="00E633A7">
                        <w:t xml:space="preserve"> </w:t>
                      </w:r>
                      <w:r w:rsidR="002D4841">
                        <w:t xml:space="preserve">Research Direction: </w:t>
                      </w:r>
                      <w:r w:rsidRPr="00E633A7">
                        <w:t xml:space="preserve">Trust </w:t>
                      </w:r>
                      <w:r>
                        <w:t>and</w:t>
                      </w:r>
                      <w:r w:rsidRPr="00E633A7">
                        <w:t xml:space="preserve"> Audit for Energy-RWA Data</w:t>
                      </w:r>
                    </w:p>
                  </w:txbxContent>
                </v:textbox>
                <w10:wrap type="topAndBottom"/>
              </v:shape>
            </w:pict>
          </mc:Fallback>
        </mc:AlternateContent>
      </w:r>
      <w:r w:rsidRPr="00B431C0">
        <w:rPr>
          <w:noProof/>
        </w:rPr>
        <w:drawing>
          <wp:anchor distT="0" distB="0" distL="114300" distR="114300" simplePos="0" relativeHeight="251658240" behindDoc="0" locked="0" layoutInCell="1" allowOverlap="1" wp14:anchorId="6C2A9977" wp14:editId="532253C2">
            <wp:simplePos x="0" y="0"/>
            <wp:positionH relativeFrom="column">
              <wp:posOffset>0</wp:posOffset>
            </wp:positionH>
            <wp:positionV relativeFrom="paragraph">
              <wp:posOffset>176</wp:posOffset>
            </wp:positionV>
            <wp:extent cx="5731510" cy="4445635"/>
            <wp:effectExtent l="0" t="0" r="0" b="0"/>
            <wp:wrapTopAndBottom/>
            <wp:docPr id="200491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8913"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45635"/>
                    </a:xfrm>
                    <a:prstGeom prst="rect">
                      <a:avLst/>
                    </a:prstGeom>
                  </pic:spPr>
                </pic:pic>
              </a:graphicData>
            </a:graphic>
            <wp14:sizeRelH relativeFrom="page">
              <wp14:pctWidth>0</wp14:pctWidth>
            </wp14:sizeRelH>
            <wp14:sizeRelV relativeFrom="page">
              <wp14:pctHeight>0</wp14:pctHeight>
            </wp14:sizeRelV>
          </wp:anchor>
        </w:drawing>
      </w:r>
      <w:r>
        <w:t>rates, and substantial manual verification and audit costs. The research objective in this track is therefore to provide systematic, explainable, and cost-efficient methods to quantify data trustworthiness, allocate verification effort, and formalize how device events and data confidence should translate into token states and payout rules. As illustrated in Figure 3, the proposed work is implemented as a trust-and-audit layer positioned between telemetry aggregation and the downstream oracle publication/reward computation pipeline; it produces standardized “oracle-ready” outputs together with cryptographic commitments and audit artifacts, strengthening the integrity and scalability of Deye’s RWA architecture. Three research directions can be proposed:</w:t>
      </w:r>
    </w:p>
    <w:p w14:paraId="2B260E32" w14:textId="4DDD3C53" w:rsidR="00E633A7" w:rsidRDefault="00E633A7" w:rsidP="00E633A7">
      <w:pPr>
        <w:pStyle w:val="ListParagraph"/>
        <w:numPr>
          <w:ilvl w:val="0"/>
          <w:numId w:val="13"/>
        </w:numPr>
      </w:pPr>
      <w:r w:rsidRPr="0076606E">
        <w:rPr>
          <w:rFonts w:ascii="Cambria Math" w:hAnsi="Cambria Math" w:cs="Cambria Math"/>
          <w:b/>
          <w:bCs/>
        </w:rPr>
        <w:t>①</w:t>
      </w:r>
      <w:r>
        <w:rPr>
          <w:rFonts w:ascii="Cambria Math" w:hAnsi="Cambria Math" w:cs="Cambria Math"/>
          <w:b/>
          <w:bCs/>
        </w:rPr>
        <w:t xml:space="preserve"> </w:t>
      </w:r>
      <w:r>
        <w:rPr>
          <w:rStyle w:val="Strong"/>
        </w:rPr>
        <w:t>Trust scoring and anomaly detection (device-level to asset-level).</w:t>
      </w:r>
      <w:r>
        <w:t xml:space="preserve"> How should multi-source consistency checks and anomaly detection be designed to identify missingness, manipulation, and sensor faults, and then aggregate these diagnostics into interpretable trust scores at both the device level and the portfolio level? The intended output is an “Asset Data Trust Score” framework with explainable drivers, suitable for </w:t>
      </w:r>
      <w:r>
        <w:lastRenderedPageBreak/>
        <w:t>inclusion in the oracle package via hash/Merkle commitments and for use in operational triage.</w:t>
      </w:r>
    </w:p>
    <w:p w14:paraId="1066BD18" w14:textId="1FD50552" w:rsidR="00E633A7" w:rsidRDefault="00E633A7" w:rsidP="00E633A7">
      <w:pPr>
        <w:pStyle w:val="ListParagraph"/>
        <w:numPr>
          <w:ilvl w:val="0"/>
          <w:numId w:val="13"/>
        </w:numPr>
      </w:pPr>
      <w:r w:rsidRPr="001F298A">
        <w:rPr>
          <w:rFonts w:ascii="Cambria Math" w:hAnsi="Cambria Math" w:cs="Cambria Math"/>
          <w:b/>
          <w:bCs/>
        </w:rPr>
        <w:t>②</w:t>
      </w:r>
      <w:r>
        <w:rPr>
          <w:rFonts w:ascii="Cambria Math" w:hAnsi="Cambria Math" w:cs="Cambria Math"/>
          <w:b/>
          <w:bCs/>
        </w:rPr>
        <w:t xml:space="preserve"> </w:t>
      </w:r>
      <w:r>
        <w:rPr>
          <w:rStyle w:val="Strong"/>
        </w:rPr>
        <w:t>Verification economics and optimal sampling (cost–risk frontier).</w:t>
      </w:r>
      <w:r>
        <w:t xml:space="preserve"> Since verifying all devices and all periods at full fidelity is prohibitively costly, what sampling frequency, sampling set selection, and verification intensity minimize verification cost subject to an explicit upper bound on payout-error or manipulation risk? The intended output is a set of implementable audit/sampling policies and cost–risk curves that adapt verification effort to observed trust scores and operational constraints (audit budget, risk tolerance).</w:t>
      </w:r>
    </w:p>
    <w:p w14:paraId="7A625818" w14:textId="75F44A4A" w:rsidR="00E633A7" w:rsidRDefault="00E633A7" w:rsidP="00E633A7">
      <w:pPr>
        <w:pStyle w:val="ListParagraph"/>
        <w:numPr>
          <w:ilvl w:val="0"/>
          <w:numId w:val="13"/>
        </w:numPr>
      </w:pPr>
      <w:r w:rsidRPr="001F298A">
        <w:rPr>
          <w:rFonts w:ascii="Cambria Math" w:hAnsi="Cambria Math" w:cs="Cambria Math"/>
          <w:b/>
          <w:bCs/>
        </w:rPr>
        <w:t>③</w:t>
      </w:r>
      <w:r>
        <w:rPr>
          <w:rFonts w:ascii="Cambria Math" w:hAnsi="Cambria Math" w:cs="Cambria Math"/>
          <w:b/>
          <w:bCs/>
        </w:rPr>
        <w:t xml:space="preserve"> </w:t>
      </w:r>
      <w:r>
        <w:rPr>
          <w:rStyle w:val="Strong"/>
        </w:rPr>
        <w:t>Digital-twin state machine (token state determination).</w:t>
      </w:r>
      <w:r>
        <w:t xml:space="preserve"> How should data-quality signals and operational events be mapped into a formal device-level state machine, and how should states deterministically govern reward eligibility, payout weights, holds/escrow, and correction workflows? The intended output is a rule specification that is both audit-readable and contract-consumable, linking measurable evidence (flags/scores) to financially binding payout policies while preserving traceability for dispute resolution.</w:t>
      </w:r>
    </w:p>
    <w:p w14:paraId="70C34367" w14:textId="3BBB02C7" w:rsidR="00EA58D8" w:rsidRDefault="00EA58D8" w:rsidP="00EA58D8">
      <w:pPr>
        <w:pStyle w:val="Heading2"/>
      </w:pPr>
      <w:r>
        <w:t>3.2. Cashflow Structuring and Risk Pricing</w:t>
      </w:r>
    </w:p>
    <w:p w14:paraId="1D88E5C9" w14:textId="01198757" w:rsidR="00E633A7" w:rsidRDefault="00EA58D8" w:rsidP="00E220EB">
      <w:r>
        <w:t xml:space="preserve">Energy RWAs are ultimately financed against </w:t>
      </w:r>
      <w:r w:rsidRPr="00EA58D8">
        <w:rPr>
          <w:rStyle w:val="Strong"/>
          <w:b w:val="0"/>
          <w:bCs w:val="0"/>
        </w:rPr>
        <w:t>future cashflows</w:t>
      </w:r>
      <w:r>
        <w:t xml:space="preserve">, and therefore the scalability of Deye’s RWA business line depends not only on credible data and automated settlement, but also on whether the project’s cashflows can be </w:t>
      </w:r>
      <w:r w:rsidRPr="00EA58D8">
        <w:rPr>
          <w:rStyle w:val="Strong"/>
          <w:b w:val="0"/>
          <w:bCs w:val="0"/>
        </w:rPr>
        <w:t>forecast, stress-tested, structured, and priced</w:t>
      </w:r>
      <w:r>
        <w:t xml:space="preserve"> in a manner that meets the expectations of institutional capital. In practice, funders and sophisticated investors focus on downside protection and capital efficiency rather than average yield: they require quantified uncertainty around monthly revenue, transparent exposure to extreme scenarios (e.g., abnormal weather, curtailment, sustained downtime), and clear risk-mitigation mechanisms that prevent weaker assets from diluting stronger assets once they are pooled. The research agenda in this track addresses these financing frictions by developing a cashflow structuring and risk-pricing layer that connects oracle-attested production/settlement information to financeable product terms and on-chain implementation parameters (Figure 4). Concretely, the outputs of this layer include distributional cashflow forecasts and standardized risk reports, pooling and NAV rules that are robust to asset heterogeneity and adverse selection, and credit-enhancement/insurance trigger designs that reduce tail risk without requiring the issuer to provide discretionary guarantees. These outputs are directly actionable: they translate into vault admission rules, quality-weighted NAV computation, </w:t>
      </w:r>
      <w:proofErr w:type="spellStart"/>
      <w:r>
        <w:t>tranching</w:t>
      </w:r>
      <w:proofErr w:type="spellEnd"/>
      <w:r>
        <w:t xml:space="preserve"> design, reserve </w:t>
      </w:r>
      <w:r>
        <w:rPr>
          <w:noProof/>
        </w:rPr>
        <w:lastRenderedPageBreak/>
        <mc:AlternateContent>
          <mc:Choice Requires="wps">
            <w:drawing>
              <wp:anchor distT="0" distB="0" distL="114300" distR="114300" simplePos="0" relativeHeight="251663360" behindDoc="0" locked="0" layoutInCell="1" allowOverlap="1" wp14:anchorId="30967019" wp14:editId="03D58DA3">
                <wp:simplePos x="0" y="0"/>
                <wp:positionH relativeFrom="column">
                  <wp:posOffset>0</wp:posOffset>
                </wp:positionH>
                <wp:positionV relativeFrom="paragraph">
                  <wp:posOffset>5316220</wp:posOffset>
                </wp:positionV>
                <wp:extent cx="5731510" cy="635"/>
                <wp:effectExtent l="0" t="0" r="0" b="12065"/>
                <wp:wrapTopAndBottom/>
                <wp:docPr id="78303748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AD94A49" w14:textId="211FFD76" w:rsidR="00EA58D8" w:rsidRPr="00322F13" w:rsidRDefault="00EA58D8" w:rsidP="00EA58D8">
                            <w:pPr>
                              <w:pStyle w:val="Caption"/>
                            </w:pPr>
                            <w:r>
                              <w:t xml:space="preserve">Figure </w:t>
                            </w:r>
                            <w:fldSimple w:instr=" SEQ Figure \* ARABIC ">
                              <w:r w:rsidR="001E03C9">
                                <w:rPr>
                                  <w:noProof/>
                                </w:rPr>
                                <w:t>4</w:t>
                              </w:r>
                            </w:fldSimple>
                            <w:r>
                              <w:t xml:space="preserve"> Research direction: Cashflow Structuring and Risk Pricing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67019" id="_x0000_s1027" type="#_x0000_t202" style="position:absolute;left:0;text-align:left;margin-left:0;margin-top:418.6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" stroked="f">
                <v:textbox style="mso-fit-shape-to-text:t" inset="0,0,0,0">
                  <w:txbxContent>
                    <w:p w14:paraId="2AD94A49" w14:textId="211FFD76" w:rsidR="00EA58D8" w:rsidRPr="00322F13" w:rsidRDefault="00EA58D8" w:rsidP="00EA58D8">
                      <w:pPr>
                        <w:pStyle w:val="Caption"/>
                      </w:pPr>
                      <w:r>
                        <w:t xml:space="preserve">Figure </w:t>
                      </w:r>
                      <w:r w:rsidR="001E03C9">
                        <w:fldChar w:fldCharType="begin"/>
                      </w:r>
                      <w:r w:rsidR="001E03C9">
                        <w:instrText xml:space="preserve"> SEQ Figure \* ARABIC </w:instrText>
                      </w:r>
                      <w:r w:rsidR="001E03C9">
                        <w:fldChar w:fldCharType="separate"/>
                      </w:r>
                      <w:r w:rsidR="001E03C9">
                        <w:rPr>
                          <w:noProof/>
                        </w:rPr>
                        <w:t>4</w:t>
                      </w:r>
                      <w:r w:rsidR="001E03C9">
                        <w:rPr>
                          <w:noProof/>
                        </w:rPr>
                        <w:fldChar w:fldCharType="end"/>
                      </w:r>
                      <w:r>
                        <w:t xml:space="preserve"> Research direction: Cashflow Structuring and Risk Pricing</w:t>
                      </w:r>
                    </w:p>
                  </w:txbxContent>
                </v:textbox>
                <w10:wrap type="topAndBottom"/>
              </v:shape>
            </w:pict>
          </mc:Fallback>
        </mc:AlternateContent>
      </w:r>
      <w:r>
        <w:rPr>
          <w:noProof/>
        </w:rPr>
        <w:drawing>
          <wp:anchor distT="0" distB="0" distL="114300" distR="114300" simplePos="0" relativeHeight="251661312" behindDoc="0" locked="0" layoutInCell="1" allowOverlap="1" wp14:anchorId="33DBD755" wp14:editId="0CC8E049">
            <wp:simplePos x="0" y="0"/>
            <wp:positionH relativeFrom="column">
              <wp:posOffset>378</wp:posOffset>
            </wp:positionH>
            <wp:positionV relativeFrom="paragraph">
              <wp:posOffset>378</wp:posOffset>
            </wp:positionV>
            <wp:extent cx="5731510" cy="5259070"/>
            <wp:effectExtent l="0" t="0" r="0" b="0"/>
            <wp:wrapTopAndBottom/>
            <wp:docPr id="4855059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5908" name="Picture 1"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259070"/>
                    </a:xfrm>
                    <a:prstGeom prst="rect">
                      <a:avLst/>
                    </a:prstGeom>
                  </pic:spPr>
                </pic:pic>
              </a:graphicData>
            </a:graphic>
            <wp14:sizeRelH relativeFrom="page">
              <wp14:pctWidth>0</wp14:pctWidth>
            </wp14:sizeRelH>
            <wp14:sizeRelV relativeFrom="page">
              <wp14:pctHeight>0</wp14:pctHeight>
            </wp14:sizeRelV>
          </wp:anchor>
        </w:drawing>
      </w:r>
      <w:r>
        <w:t>sizing, and verifiable trigger conditions that can be encoded into Deye’s RWA smart contract cluster.</w:t>
      </w:r>
    </w:p>
    <w:p w14:paraId="19A48A72" w14:textId="3B033A76" w:rsidR="00EA58D8" w:rsidRDefault="00EA58D8" w:rsidP="00EA58D8">
      <w:pPr>
        <w:pStyle w:val="ListParagraph"/>
        <w:numPr>
          <w:ilvl w:val="0"/>
          <w:numId w:val="14"/>
        </w:numPr>
      </w:pPr>
      <w:r w:rsidRPr="00EA58D8">
        <w:rPr>
          <w:rFonts w:ascii="Cambria Math" w:hAnsi="Cambria Math" w:cs="Cambria Math"/>
          <w:b/>
          <w:bCs/>
        </w:rPr>
        <w:t xml:space="preserve">① </w:t>
      </w:r>
      <w:r w:rsidRPr="00EA58D8">
        <w:rPr>
          <w:b/>
          <w:bCs/>
        </w:rPr>
        <w:t>Cashflow forecasting</w:t>
      </w:r>
      <w:r>
        <w:rPr>
          <w:b/>
          <w:bCs/>
        </w:rPr>
        <w:t xml:space="preserve"> with multiple data source. </w:t>
      </w:r>
      <w:r>
        <w:t>How should multi-source information (i.e., historical production, weather/irradiance, settlement/tariff rules, and device-state signals) be combined to forecast cashflows as a full distribution rather than a single expected value? The intended deliverable is a periodic Cashflow Risk Report (</w:t>
      </w:r>
      <w:proofErr w:type="spellStart"/>
      <w:r>
        <w:t>VaR</w:t>
      </w:r>
      <w:proofErr w:type="spellEnd"/>
      <w:r>
        <w:t>/CVaR-like measures and scenario outcomes) together with a scenario library capturing extreme but plausible conditions, providing funders with explicit downside metrics and supporting robust term-sheet design.</w:t>
      </w:r>
    </w:p>
    <w:p w14:paraId="1B595B51" w14:textId="5EA93A9B" w:rsidR="00B0217C" w:rsidRPr="00B0217C" w:rsidRDefault="00B0217C" w:rsidP="00EA58D8">
      <w:pPr>
        <w:pStyle w:val="ListParagraph"/>
        <w:numPr>
          <w:ilvl w:val="0"/>
          <w:numId w:val="14"/>
        </w:numPr>
        <w:rPr>
          <w:b/>
          <w:bCs/>
        </w:rPr>
      </w:pPr>
      <w:r w:rsidRPr="001F298A">
        <w:rPr>
          <w:rFonts w:ascii="Cambria Math" w:hAnsi="Cambria Math" w:cs="Cambria Math"/>
          <w:b/>
          <w:bCs/>
        </w:rPr>
        <w:t>②</w:t>
      </w:r>
      <w:r>
        <w:rPr>
          <w:rFonts w:ascii="Cambria Math" w:hAnsi="Cambria Math" w:cs="Cambria Math"/>
          <w:b/>
          <w:bCs/>
        </w:rPr>
        <w:t xml:space="preserve"> </w:t>
      </w:r>
      <w:r w:rsidRPr="00B0217C">
        <w:rPr>
          <w:rFonts w:hint="eastAsia"/>
          <w:b/>
          <w:bCs/>
        </w:rPr>
        <w:t>Asset quality and adverse selection control</w:t>
      </w:r>
      <w:r w:rsidRPr="00B0217C">
        <w:rPr>
          <w:b/>
          <w:bCs/>
        </w:rPr>
        <w:t>.</w:t>
      </w:r>
      <w:r>
        <w:rPr>
          <w:b/>
          <w:bCs/>
        </w:rPr>
        <w:t xml:space="preserve"> </w:t>
      </w:r>
      <w:r>
        <w:t xml:space="preserve">When heterogeneous inverter RWAs are deposited into a pooled vault, how can the system prevent “good assets” from being diluted by “bad assets,” which would otherwise deter high-quality contributors and </w:t>
      </w:r>
      <w:r>
        <w:lastRenderedPageBreak/>
        <w:t>destabilize pricing? The intended outputs include pooling mechanisms such as quality-weighted NAV, dynamic admission thresholds based on trust/return profiles, and optional segmentation/</w:t>
      </w:r>
      <w:proofErr w:type="spellStart"/>
      <w:r>
        <w:t>tranching</w:t>
      </w:r>
      <w:proofErr w:type="spellEnd"/>
      <w:r>
        <w:t>, together with theoretical and simulation-based evaluation of welfare, discount ranges, and incentive compatibility under different asset-quality distributions.</w:t>
      </w:r>
    </w:p>
    <w:p w14:paraId="4AB22F63" w14:textId="0D299C01" w:rsidR="00B0217C" w:rsidRPr="00B0217C" w:rsidRDefault="00B0217C" w:rsidP="00EA58D8">
      <w:pPr>
        <w:pStyle w:val="ListParagraph"/>
        <w:numPr>
          <w:ilvl w:val="0"/>
          <w:numId w:val="14"/>
        </w:numPr>
        <w:rPr>
          <w:b/>
          <w:bCs/>
        </w:rPr>
      </w:pPr>
      <w:r w:rsidRPr="001F298A">
        <w:rPr>
          <w:rFonts w:ascii="Cambria Math" w:hAnsi="Cambria Math" w:cs="Cambria Math"/>
          <w:b/>
          <w:bCs/>
        </w:rPr>
        <w:t>③</w:t>
      </w:r>
      <w:r>
        <w:rPr>
          <w:rFonts w:ascii="Cambria Math" w:hAnsi="Cambria Math" w:cs="Cambria Math"/>
          <w:b/>
          <w:bCs/>
        </w:rPr>
        <w:t xml:space="preserve"> </w:t>
      </w:r>
      <w:r w:rsidRPr="00B0217C">
        <w:rPr>
          <w:b/>
          <w:bCs/>
        </w:rPr>
        <w:t>Credit enhancement and insurance trigger design</w:t>
      </w:r>
      <w:r>
        <w:rPr>
          <w:b/>
          <w:bCs/>
        </w:rPr>
        <w:t xml:space="preserve">. </w:t>
      </w:r>
      <w:r>
        <w:t>How should tail risks (i.e., prolonged downtime, underproduction, settlement delays, or counterparty-related shortfalls) be mitigated through non-discretionary mechanisms such as parametric insurance, risk reserves, and formally verifiable trigger conditions? The intended outputs include trigger models and reserve-sizing recommendations supported by stress tests, targeting minimal capital occupancy for a desired protection level while ensuring that trigger events and payouts remain objectively auditable and enforceable within the RWA system.</w:t>
      </w:r>
    </w:p>
    <w:p w14:paraId="72C5DE5E" w14:textId="2835D06E" w:rsidR="00EA58D8" w:rsidRDefault="001E03C9" w:rsidP="001E03C9">
      <w:pPr>
        <w:pStyle w:val="Heading2"/>
      </w:pPr>
      <w:r>
        <w:t>3.3. Liquidity and Price Discovery in a Restricted (Compliant) Market</w:t>
      </w:r>
    </w:p>
    <w:p w14:paraId="4CC74241" w14:textId="43A14F6E" w:rsidR="00EA58D8" w:rsidRDefault="001E03C9" w:rsidP="00E220EB">
      <w:r>
        <w:t>In the initial rollout of an energy-RWA product, secondary trading is typically constrained by regulation, licensing, and KYC/whitelisting requirements, even if the long-run objective is to support broader market access. These constraints materially shape market outcomes: restricting participation reduces the diversity of order flow and liquidity provision, which can widen effective spreads, increase slippage, and weaken price discovery, ultimately affecting investor confidence and the perceived “</w:t>
      </w:r>
      <w:proofErr w:type="spellStart"/>
      <w:r>
        <w:t>financeability</w:t>
      </w:r>
      <w:proofErr w:type="spellEnd"/>
      <w:r>
        <w:t xml:space="preserve">” of the token. The research objective in this track is to treat AMM-based trading not as a generic DeFi primitive, but as a </w:t>
      </w:r>
      <w:r w:rsidRPr="001E03C9">
        <w:rPr>
          <w:rStyle w:val="Strong"/>
          <w:b w:val="0"/>
          <w:bCs w:val="0"/>
        </w:rPr>
        <w:t>compliant market microstructure problem</w:t>
      </w:r>
      <w:r>
        <w:t xml:space="preserve"> in which participation constraints, disclosure policies, and mint/redeem rules jointly determine liquidity quality and the stability of the market price relative to fundamentals. As illustrated in Figure 5, this research program interfaces with the RWA </w:t>
      </w:r>
      <w:proofErr w:type="spellStart"/>
      <w:r>
        <w:t>tokenomics</w:t>
      </w:r>
      <w:proofErr w:type="spellEnd"/>
      <w:r>
        <w:t xml:space="preserve"> smart contract cluster by producing implementable design parameters (fee tiers, incentive schedules, redemption windows/queues, and disclosure standards) and by quantifying performance impacts under realistic participant sets (institutional investors, whitelisted individual investors, and designated market makers) and regulatory constraints.</w:t>
      </w:r>
    </w:p>
    <w:p w14:paraId="7A453A91" w14:textId="38E8A752" w:rsidR="00E84A39" w:rsidRPr="001E03C9" w:rsidRDefault="001E03C9" w:rsidP="001E03C9">
      <w:pPr>
        <w:pStyle w:val="NormalWeb"/>
        <w:numPr>
          <w:ilvl w:val="0"/>
          <w:numId w:val="15"/>
        </w:numPr>
        <w:rPr>
          <w:rFonts w:eastAsia="Times New Roman"/>
          <w:b/>
          <w:bCs/>
          <w:lang w:val="en-US"/>
        </w:rPr>
      </w:pPr>
      <w:r w:rsidRPr="00EA58D8">
        <w:rPr>
          <w:rFonts w:ascii="Cambria Math" w:hAnsi="Cambria Math" w:cs="Cambria Math"/>
          <w:b/>
          <w:bCs/>
        </w:rPr>
        <w:t>①</w:t>
      </w:r>
      <w:r>
        <w:rPr>
          <w:rFonts w:ascii="Cambria Math" w:hAnsi="Cambria Math" w:cs="Cambria Math"/>
          <w:b/>
          <w:bCs/>
        </w:rPr>
        <w:t xml:space="preserve"> </w:t>
      </w:r>
      <w:r w:rsidRPr="001E03C9">
        <w:rPr>
          <w:b/>
          <w:bCs/>
        </w:rPr>
        <w:t>AMM design under whitelist constraints</w:t>
      </w:r>
      <w:r>
        <w:rPr>
          <w:b/>
          <w:bCs/>
        </w:rPr>
        <w:t xml:space="preserve">. </w:t>
      </w:r>
      <w:r>
        <w:t xml:space="preserve">How should AMM fee tiers, curve selection, and market-making incentives be chosen when trading and liquidity provision are limited to KYC/whitelisted participants? The intended output is a calibrated simulation framework that quantifies liquidity loss under restricted </w:t>
      </w:r>
      <w:r>
        <w:rPr>
          <w:noProof/>
        </w:rPr>
        <w:lastRenderedPageBreak/>
        <mc:AlternateContent>
          <mc:Choice Requires="wps">
            <w:drawing>
              <wp:anchor distT="0" distB="0" distL="114300" distR="114300" simplePos="0" relativeHeight="251666432" behindDoc="0" locked="0" layoutInCell="1" allowOverlap="1" wp14:anchorId="5067D572" wp14:editId="17FC448B">
                <wp:simplePos x="0" y="0"/>
                <wp:positionH relativeFrom="column">
                  <wp:posOffset>-19050</wp:posOffset>
                </wp:positionH>
                <wp:positionV relativeFrom="paragraph">
                  <wp:posOffset>5574665</wp:posOffset>
                </wp:positionV>
                <wp:extent cx="5731510" cy="635"/>
                <wp:effectExtent l="0" t="0" r="0" b="12065"/>
                <wp:wrapTopAndBottom/>
                <wp:docPr id="224861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A1F8781" w14:textId="3894A29B" w:rsidR="001E03C9" w:rsidRPr="0015428A" w:rsidRDefault="001E03C9" w:rsidP="001E03C9">
                            <w:pPr>
                              <w:pStyle w:val="Caption"/>
                              <w:rPr>
                                <w:rFonts w:ascii="Cambria Math" w:hAnsi="Cambria Math" w:cs="Cambria Math"/>
                                <w:b/>
                                <w:bCs/>
                              </w:rPr>
                            </w:pPr>
                            <w:r>
                              <w:t xml:space="preserve">Figure </w:t>
                            </w:r>
                            <w:fldSimple w:instr=" SEQ Figure \* ARABIC ">
                              <w:r>
                                <w:rPr>
                                  <w:noProof/>
                                </w:rPr>
                                <w:t>5</w:t>
                              </w:r>
                            </w:fldSimple>
                            <w:r>
                              <w:t xml:space="preserve"> Research direction: Liquidity and Price Discovery in a Restricted (Compliant) Market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7D572" id="_x0000_s1028" type="#_x0000_t202" style="position:absolute;left:0;text-align:left;margin-left:-1.5pt;margin-top:438.9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xR1GgIAAD8EAAAOAAAAZHJzL2Uyb0RvYy54bWysU8Fu2zAMvQ/YPwi6L05SpBu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" stroked="f">
                <v:textbox style="mso-fit-shape-to-text:t" inset="0,0,0,0">
                  <w:txbxContent>
                    <w:p w14:paraId="1A1F8781" w14:textId="3894A29B" w:rsidR="001E03C9" w:rsidRPr="0015428A" w:rsidRDefault="001E03C9" w:rsidP="001E03C9">
                      <w:pPr>
                        <w:pStyle w:val="Caption"/>
                        <w:rPr>
                          <w:rFonts w:ascii="Cambria Math" w:hAnsi="Cambria Math" w:cs="Cambria Math"/>
                          <w:b/>
                          <w:bCs/>
                        </w:rPr>
                      </w:pPr>
                      <w:r>
                        <w:t xml:space="preserve">Figure </w:t>
                      </w:r>
                      <w:r>
                        <w:fldChar w:fldCharType="begin"/>
                      </w:r>
                      <w:r>
                        <w:instrText xml:space="preserve"> SEQ Figure \* ARABIC </w:instrText>
                      </w:r>
                      <w:r>
                        <w:fldChar w:fldCharType="separate"/>
                      </w:r>
                      <w:r>
                        <w:rPr>
                          <w:noProof/>
                        </w:rPr>
                        <w:t>5</w:t>
                      </w:r>
                      <w:r>
                        <w:rPr>
                          <w:noProof/>
                        </w:rPr>
                        <w:fldChar w:fldCharType="end"/>
                      </w:r>
                      <w:r>
                        <w:t xml:space="preserve"> Research direction: Liquidity and Price Discovery in a Restricted (Compliant) Market</w:t>
                      </w:r>
                    </w:p>
                  </w:txbxContent>
                </v:textbox>
                <w10:wrap type="topAndBottom"/>
              </v:shape>
            </w:pict>
          </mc:Fallback>
        </mc:AlternateContent>
      </w:r>
      <w:r>
        <w:rPr>
          <w:noProof/>
        </w:rPr>
        <w:drawing>
          <wp:anchor distT="0" distB="0" distL="114300" distR="114300" simplePos="0" relativeHeight="251664384" behindDoc="0" locked="0" layoutInCell="1" allowOverlap="1" wp14:anchorId="5A2EBB10" wp14:editId="1E7116BD">
            <wp:simplePos x="0" y="0"/>
            <wp:positionH relativeFrom="column">
              <wp:posOffset>-19158</wp:posOffset>
            </wp:positionH>
            <wp:positionV relativeFrom="paragraph">
              <wp:posOffset>284</wp:posOffset>
            </wp:positionV>
            <wp:extent cx="5731510" cy="5517515"/>
            <wp:effectExtent l="0" t="0" r="0" b="0"/>
            <wp:wrapTopAndBottom/>
            <wp:docPr id="1981118734" name="Picture 2" descr="A diagram of a market ma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8734" name="Picture 2" descr="A diagram of a market mak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517515"/>
                    </a:xfrm>
                    <a:prstGeom prst="rect">
                      <a:avLst/>
                    </a:prstGeom>
                  </pic:spPr>
                </pic:pic>
              </a:graphicData>
            </a:graphic>
            <wp14:sizeRelH relativeFrom="page">
              <wp14:pctWidth>0</wp14:pctWidth>
            </wp14:sizeRelH>
            <wp14:sizeRelV relativeFrom="page">
              <wp14:pctHeight>0</wp14:pctHeight>
            </wp14:sizeRelV>
          </wp:anchor>
        </w:drawing>
      </w:r>
      <w:r>
        <w:t>participation and produces parameter recommendations that minimize slippage, effective spreads, and price impact for a given compliance perimeter.</w:t>
      </w:r>
    </w:p>
    <w:p w14:paraId="72948EA9" w14:textId="4930D64B" w:rsidR="001E03C9" w:rsidRPr="001E03C9" w:rsidRDefault="001E03C9" w:rsidP="001E03C9">
      <w:pPr>
        <w:pStyle w:val="NormalWeb"/>
        <w:numPr>
          <w:ilvl w:val="0"/>
          <w:numId w:val="15"/>
        </w:numPr>
        <w:rPr>
          <w:rFonts w:eastAsia="Times New Roman"/>
          <w:b/>
          <w:bCs/>
          <w:lang w:val="en-US"/>
        </w:rPr>
      </w:pPr>
      <w:r w:rsidRPr="001F298A">
        <w:rPr>
          <w:rFonts w:ascii="Cambria Math" w:hAnsi="Cambria Math" w:cs="Cambria Math"/>
          <w:b/>
          <w:bCs/>
        </w:rPr>
        <w:t>②</w:t>
      </w:r>
      <w:r>
        <w:rPr>
          <w:rFonts w:ascii="Cambria Math" w:hAnsi="Cambria Math" w:cs="Cambria Math"/>
          <w:b/>
          <w:bCs/>
        </w:rPr>
        <w:t xml:space="preserve"> </w:t>
      </w:r>
      <w:r w:rsidRPr="001E03C9">
        <w:rPr>
          <w:b/>
          <w:bCs/>
        </w:rPr>
        <w:t>NAV anchoring and discount/premium control.</w:t>
      </w:r>
      <w:r>
        <w:rPr>
          <w:b/>
          <w:bCs/>
        </w:rPr>
        <w:t xml:space="preserve"> </w:t>
      </w:r>
      <w:r>
        <w:t xml:space="preserve">How should mint/redeem access, redemption delays/queues, and dynamic fees be designed to keep the traded price of </w:t>
      </w:r>
      <w:proofErr w:type="spellStart"/>
      <w:r>
        <w:t>vRWA</w:t>
      </w:r>
      <w:proofErr w:type="spellEnd"/>
      <w:r>
        <w:t xml:space="preserve"> anchored to vault NAV per share, while remaining operationally compatible with RWA settlement frictions? The intended output is a set of anchoring mechanisms and policy rules that bound the distribution of discounts/premia across market conditions, together with stress-scenario evaluations that identify when and why persistent discounts may emerge.</w:t>
      </w:r>
    </w:p>
    <w:p w14:paraId="250DD527" w14:textId="0E32335E" w:rsidR="001E03C9" w:rsidRPr="00CF5314" w:rsidRDefault="001E03C9" w:rsidP="001E03C9">
      <w:pPr>
        <w:pStyle w:val="NormalWeb"/>
        <w:numPr>
          <w:ilvl w:val="0"/>
          <w:numId w:val="15"/>
        </w:numPr>
        <w:rPr>
          <w:rFonts w:eastAsia="Times New Roman"/>
          <w:b/>
          <w:bCs/>
          <w:lang w:val="en-US"/>
        </w:rPr>
      </w:pPr>
      <w:r w:rsidRPr="001F298A">
        <w:rPr>
          <w:rFonts w:ascii="Cambria Math" w:hAnsi="Cambria Math" w:cs="Cambria Math"/>
          <w:b/>
          <w:bCs/>
        </w:rPr>
        <w:lastRenderedPageBreak/>
        <w:t>③</w:t>
      </w:r>
      <w:r>
        <w:rPr>
          <w:rFonts w:ascii="Cambria Math" w:hAnsi="Cambria Math" w:cs="Cambria Math"/>
          <w:b/>
          <w:bCs/>
        </w:rPr>
        <w:t xml:space="preserve"> </w:t>
      </w:r>
      <w:r w:rsidRPr="001E03C9">
        <w:rPr>
          <w:b/>
          <w:bCs/>
        </w:rPr>
        <w:t>Disclosure–privacy trade-off in compliant trading.</w:t>
      </w:r>
      <w:r>
        <w:rPr>
          <w:b/>
          <w:bCs/>
        </w:rPr>
        <w:t xml:space="preserve"> </w:t>
      </w:r>
      <w:r>
        <w:t>What level of disclosure is sufficient to satisfy regulatory expectations and investor due diligence without unnecessarily exposing sensitive operational or commercial information, and how can selective disclosure be implemented in a verifiable manner? The intended output is a tiered disclosure standard (e.g., board/funder/regulator/public) supported by proof-backed summaries and auditable artifacts, with evaluation metrics that balance due-diligence coverage against information-leakage risk and its effect on market participation.</w:t>
      </w:r>
    </w:p>
    <w:p w14:paraId="4E776FC1" w14:textId="6B56CA1D" w:rsidR="00CF5314" w:rsidRDefault="00CF5314" w:rsidP="00CF5314">
      <w:pPr>
        <w:pStyle w:val="Heading1"/>
      </w:pPr>
      <w:r w:rsidRPr="00CF5314">
        <w:t>4. Research Timeline</w:t>
      </w:r>
      <w:r w:rsidR="004E4483">
        <w:t xml:space="preserve"> </w:t>
      </w:r>
    </w:p>
    <w:p w14:paraId="3EFBD8FD" w14:textId="46956EB1" w:rsidR="004E4483" w:rsidRPr="007C0FF8" w:rsidRDefault="004E4483" w:rsidP="004E4483">
      <w:pPr>
        <w:pStyle w:val="Caption"/>
        <w:keepNext/>
      </w:pPr>
      <w:r w:rsidRPr="007C0FF8">
        <w:t xml:space="preserve">Table </w:t>
      </w:r>
      <w:fldSimple w:instr=" SEQ Table \* ARABIC ">
        <w:r w:rsidRPr="007C0FF8">
          <w:rPr>
            <w:noProof/>
          </w:rPr>
          <w:t>1</w:t>
        </w:r>
      </w:fldSimple>
      <w:r w:rsidR="007C0FF8" w:rsidRPr="007C0FF8">
        <w:t>.</w:t>
      </w:r>
      <w:r w:rsidRPr="007C0FF8">
        <w:t xml:space="preserve"> Research timeline with Deye RWA system milestone</w:t>
      </w:r>
    </w:p>
    <w:tbl>
      <w:tblPr>
        <w:tblStyle w:val="TableGrid"/>
        <w:tblW w:w="0" w:type="auto"/>
        <w:tblLook w:val="04A0" w:firstRow="1" w:lastRow="0" w:firstColumn="1" w:lastColumn="0" w:noHBand="0" w:noVBand="1"/>
      </w:tblPr>
      <w:tblGrid>
        <w:gridCol w:w="706"/>
        <w:gridCol w:w="1359"/>
        <w:gridCol w:w="2567"/>
        <w:gridCol w:w="4384"/>
      </w:tblGrid>
      <w:tr w:rsidR="004E4483" w:rsidRPr="004E4483" w14:paraId="1BAF34E2" w14:textId="77777777" w:rsidTr="004E4483">
        <w:trPr>
          <w:trHeight w:val="320"/>
        </w:trPr>
        <w:tc>
          <w:tcPr>
            <w:tcW w:w="706" w:type="dxa"/>
            <w:noWrap/>
            <w:hideMark/>
          </w:tcPr>
          <w:p w14:paraId="7AD970EE" w14:textId="77777777" w:rsidR="004E4483" w:rsidRPr="004E4483" w:rsidRDefault="004E4483" w:rsidP="004E4483">
            <w:pPr>
              <w:rPr>
                <w:b/>
                <w:bCs/>
                <w:sz w:val="20"/>
                <w:szCs w:val="20"/>
              </w:rPr>
            </w:pPr>
            <w:r w:rsidRPr="004E4483">
              <w:rPr>
                <w:b/>
                <w:bCs/>
                <w:sz w:val="20"/>
                <w:szCs w:val="20"/>
              </w:rPr>
              <w:t>Year</w:t>
            </w:r>
          </w:p>
        </w:tc>
        <w:tc>
          <w:tcPr>
            <w:tcW w:w="1359" w:type="dxa"/>
            <w:noWrap/>
            <w:hideMark/>
          </w:tcPr>
          <w:p w14:paraId="02CE598B" w14:textId="77777777" w:rsidR="004E4483" w:rsidRPr="004E4483" w:rsidRDefault="004E4483" w:rsidP="004E4483">
            <w:pPr>
              <w:jc w:val="left"/>
              <w:rPr>
                <w:b/>
                <w:bCs/>
                <w:sz w:val="20"/>
                <w:szCs w:val="20"/>
              </w:rPr>
            </w:pPr>
            <w:r w:rsidRPr="004E4483">
              <w:rPr>
                <w:b/>
                <w:bCs/>
                <w:sz w:val="20"/>
                <w:szCs w:val="20"/>
              </w:rPr>
              <w:t>Deployment focus</w:t>
            </w:r>
          </w:p>
        </w:tc>
        <w:tc>
          <w:tcPr>
            <w:tcW w:w="2567" w:type="dxa"/>
            <w:noWrap/>
            <w:hideMark/>
          </w:tcPr>
          <w:p w14:paraId="414DDF5F" w14:textId="0D4C8088" w:rsidR="004E4483" w:rsidRPr="004E4483" w:rsidRDefault="004E4483" w:rsidP="004E4483">
            <w:pPr>
              <w:jc w:val="left"/>
              <w:rPr>
                <w:b/>
                <w:bCs/>
                <w:sz w:val="20"/>
                <w:szCs w:val="20"/>
              </w:rPr>
            </w:pPr>
            <w:r w:rsidRPr="004E4483">
              <w:rPr>
                <w:b/>
                <w:bCs/>
                <w:sz w:val="20"/>
                <w:szCs w:val="20"/>
              </w:rPr>
              <w:t xml:space="preserve">System milestone </w:t>
            </w:r>
          </w:p>
        </w:tc>
        <w:tc>
          <w:tcPr>
            <w:tcW w:w="4384" w:type="dxa"/>
            <w:noWrap/>
            <w:hideMark/>
          </w:tcPr>
          <w:p w14:paraId="637F09FE" w14:textId="77777777" w:rsidR="004E4483" w:rsidRPr="004E4483" w:rsidRDefault="004E4483" w:rsidP="004E4483">
            <w:pPr>
              <w:jc w:val="left"/>
              <w:rPr>
                <w:b/>
                <w:bCs/>
                <w:sz w:val="20"/>
                <w:szCs w:val="20"/>
              </w:rPr>
            </w:pPr>
            <w:r w:rsidRPr="004E4483">
              <w:rPr>
                <w:b/>
                <w:bCs/>
                <w:sz w:val="20"/>
                <w:szCs w:val="20"/>
              </w:rPr>
              <w:t>Research focus (what the lab delivers)</w:t>
            </w:r>
          </w:p>
        </w:tc>
      </w:tr>
      <w:tr w:rsidR="004E4483" w:rsidRPr="004E4483" w14:paraId="4E9BFEA6" w14:textId="77777777" w:rsidTr="004E4483">
        <w:trPr>
          <w:trHeight w:val="320"/>
        </w:trPr>
        <w:tc>
          <w:tcPr>
            <w:tcW w:w="706" w:type="dxa"/>
            <w:noWrap/>
            <w:hideMark/>
          </w:tcPr>
          <w:p w14:paraId="2B8C9340" w14:textId="77777777" w:rsidR="004E4483" w:rsidRPr="004E4483" w:rsidRDefault="004E4483">
            <w:pPr>
              <w:rPr>
                <w:b/>
                <w:bCs/>
                <w:sz w:val="20"/>
                <w:szCs w:val="20"/>
              </w:rPr>
            </w:pPr>
            <w:r w:rsidRPr="004E4483">
              <w:rPr>
                <w:b/>
                <w:bCs/>
                <w:sz w:val="20"/>
                <w:szCs w:val="20"/>
              </w:rPr>
              <w:t>Y1</w:t>
            </w:r>
          </w:p>
        </w:tc>
        <w:tc>
          <w:tcPr>
            <w:tcW w:w="1359" w:type="dxa"/>
            <w:noWrap/>
            <w:hideMark/>
          </w:tcPr>
          <w:p w14:paraId="4AF9CD39" w14:textId="77777777" w:rsidR="004E4483" w:rsidRPr="004E4483" w:rsidRDefault="004E4483" w:rsidP="004E4483">
            <w:pPr>
              <w:jc w:val="left"/>
              <w:rPr>
                <w:b/>
                <w:bCs/>
                <w:sz w:val="20"/>
                <w:szCs w:val="20"/>
              </w:rPr>
            </w:pPr>
            <w:r w:rsidRPr="004E4483">
              <w:rPr>
                <w:b/>
                <w:bCs/>
                <w:sz w:val="20"/>
                <w:szCs w:val="20"/>
              </w:rPr>
              <w:t>Stage 1: Pilot (restricted investors)</w:t>
            </w:r>
          </w:p>
        </w:tc>
        <w:tc>
          <w:tcPr>
            <w:tcW w:w="2567" w:type="dxa"/>
            <w:noWrap/>
            <w:hideMark/>
          </w:tcPr>
          <w:p w14:paraId="6C42EEC7" w14:textId="20643F65" w:rsidR="004E4483" w:rsidRPr="004E4483" w:rsidRDefault="004E4483" w:rsidP="004E4483">
            <w:pPr>
              <w:jc w:val="left"/>
              <w:rPr>
                <w:sz w:val="20"/>
                <w:szCs w:val="20"/>
              </w:rPr>
            </w:pPr>
            <w:r w:rsidRPr="004E4483">
              <w:rPr>
                <w:sz w:val="20"/>
                <w:szCs w:val="20"/>
              </w:rPr>
              <w:t>Pilot architecture specification; telemetry ingestion</w:t>
            </w:r>
            <w:r>
              <w:rPr>
                <w:sz w:val="20"/>
                <w:szCs w:val="20"/>
              </w:rPr>
              <w:t>,</w:t>
            </w:r>
            <w:r w:rsidRPr="004E4483">
              <w:rPr>
                <w:sz w:val="20"/>
                <w:szCs w:val="20"/>
              </w:rPr>
              <w:t xml:space="preserve"> off-chain commitment</w:t>
            </w:r>
            <w:r>
              <w:rPr>
                <w:sz w:val="20"/>
                <w:szCs w:val="20"/>
              </w:rPr>
              <w:t xml:space="preserve">, </w:t>
            </w:r>
            <w:r w:rsidRPr="004E4483">
              <w:rPr>
                <w:sz w:val="20"/>
                <w:szCs w:val="20"/>
              </w:rPr>
              <w:t>DON/router</w:t>
            </w:r>
            <w:r>
              <w:rPr>
                <w:sz w:val="20"/>
                <w:szCs w:val="20"/>
              </w:rPr>
              <w:t>,</w:t>
            </w:r>
            <w:r w:rsidRPr="004E4483">
              <w:rPr>
                <w:sz w:val="20"/>
                <w:szCs w:val="20"/>
              </w:rPr>
              <w:t xml:space="preserve"> on-chain record; reward funding/claim dry-run</w:t>
            </w:r>
          </w:p>
        </w:tc>
        <w:tc>
          <w:tcPr>
            <w:tcW w:w="4384" w:type="dxa"/>
            <w:noWrap/>
            <w:hideMark/>
          </w:tcPr>
          <w:p w14:paraId="5ECF37C9" w14:textId="04EFBDFB" w:rsidR="004E4483" w:rsidRPr="004E4483" w:rsidRDefault="004E4483" w:rsidP="004E4483">
            <w:pPr>
              <w:jc w:val="left"/>
              <w:rPr>
                <w:b/>
                <w:bCs/>
                <w:sz w:val="20"/>
                <w:szCs w:val="20"/>
              </w:rPr>
            </w:pPr>
            <w:r w:rsidRPr="004E4483">
              <w:rPr>
                <w:b/>
                <w:bCs/>
                <w:sz w:val="20"/>
                <w:szCs w:val="20"/>
              </w:rPr>
              <w:t xml:space="preserve">Track </w:t>
            </w:r>
            <w:r>
              <w:rPr>
                <w:b/>
                <w:bCs/>
                <w:sz w:val="20"/>
                <w:szCs w:val="20"/>
              </w:rPr>
              <w:t>1</w:t>
            </w:r>
            <w:r w:rsidRPr="004E4483">
              <w:rPr>
                <w:b/>
                <w:bCs/>
                <w:sz w:val="20"/>
                <w:szCs w:val="20"/>
              </w:rPr>
              <w:t xml:space="preserve"> (Trust &amp; Audit):</w:t>
            </w:r>
            <w:r w:rsidRPr="004E4483">
              <w:rPr>
                <w:sz w:val="20"/>
                <w:szCs w:val="20"/>
              </w:rPr>
              <w:t xml:space="preserve"> baseline anomaly detection + trust score prototype;</w:t>
            </w:r>
            <w:r w:rsidRPr="004E4483">
              <w:rPr>
                <w:b/>
                <w:bCs/>
                <w:sz w:val="20"/>
                <w:szCs w:val="20"/>
              </w:rPr>
              <w:t xml:space="preserve"> sampling</w:t>
            </w:r>
            <w:r w:rsidRPr="004E4483">
              <w:rPr>
                <w:sz w:val="20"/>
                <w:szCs w:val="20"/>
              </w:rPr>
              <w:t xml:space="preserve"> baseline; </w:t>
            </w:r>
            <w:r w:rsidRPr="004E4483">
              <w:rPr>
                <w:b/>
                <w:bCs/>
                <w:sz w:val="20"/>
                <w:szCs w:val="20"/>
              </w:rPr>
              <w:t>state machine</w:t>
            </w:r>
            <w:r w:rsidRPr="004E4483">
              <w:rPr>
                <w:sz w:val="20"/>
                <w:szCs w:val="20"/>
              </w:rPr>
              <w:t xml:space="preserve"> v1 mapped to payout holds/weights</w:t>
            </w:r>
          </w:p>
        </w:tc>
      </w:tr>
      <w:tr w:rsidR="004E4483" w:rsidRPr="004E4483" w14:paraId="7FDFEA33" w14:textId="77777777" w:rsidTr="004E4483">
        <w:trPr>
          <w:trHeight w:val="320"/>
        </w:trPr>
        <w:tc>
          <w:tcPr>
            <w:tcW w:w="706" w:type="dxa"/>
            <w:noWrap/>
            <w:hideMark/>
          </w:tcPr>
          <w:p w14:paraId="5184FDF8" w14:textId="77777777" w:rsidR="004E4483" w:rsidRPr="004E4483" w:rsidRDefault="004E4483">
            <w:pPr>
              <w:rPr>
                <w:b/>
                <w:bCs/>
                <w:sz w:val="20"/>
                <w:szCs w:val="20"/>
              </w:rPr>
            </w:pPr>
            <w:r w:rsidRPr="004E4483">
              <w:rPr>
                <w:b/>
                <w:bCs/>
                <w:sz w:val="20"/>
                <w:szCs w:val="20"/>
              </w:rPr>
              <w:t>Y2</w:t>
            </w:r>
          </w:p>
        </w:tc>
        <w:tc>
          <w:tcPr>
            <w:tcW w:w="1359" w:type="dxa"/>
            <w:noWrap/>
            <w:hideMark/>
          </w:tcPr>
          <w:p w14:paraId="761000DC" w14:textId="77777777" w:rsidR="004E4483" w:rsidRPr="004E4483" w:rsidRDefault="004E4483" w:rsidP="004E4483">
            <w:pPr>
              <w:jc w:val="left"/>
              <w:rPr>
                <w:b/>
                <w:bCs/>
                <w:sz w:val="20"/>
                <w:szCs w:val="20"/>
              </w:rPr>
            </w:pPr>
            <w:r w:rsidRPr="004E4483">
              <w:rPr>
                <w:b/>
                <w:bCs/>
                <w:sz w:val="20"/>
                <w:szCs w:val="20"/>
              </w:rPr>
              <w:t>Stage 1: Pilot execution</w:t>
            </w:r>
          </w:p>
        </w:tc>
        <w:tc>
          <w:tcPr>
            <w:tcW w:w="2567" w:type="dxa"/>
            <w:noWrap/>
            <w:hideMark/>
          </w:tcPr>
          <w:p w14:paraId="5EFDFC18" w14:textId="77777777" w:rsidR="004E4483" w:rsidRPr="004E4483" w:rsidRDefault="004E4483" w:rsidP="004E4483">
            <w:pPr>
              <w:jc w:val="left"/>
              <w:rPr>
                <w:sz w:val="20"/>
                <w:szCs w:val="20"/>
              </w:rPr>
            </w:pPr>
            <w:r w:rsidRPr="004E4483">
              <w:rPr>
                <w:sz w:val="20"/>
                <w:szCs w:val="20"/>
              </w:rPr>
              <w:t>Pilot live monitoring dashboards; monthly audit package; first external-style audit rehearsal; stable daily/periodic updates</w:t>
            </w:r>
          </w:p>
        </w:tc>
        <w:tc>
          <w:tcPr>
            <w:tcW w:w="4384" w:type="dxa"/>
            <w:noWrap/>
            <w:hideMark/>
          </w:tcPr>
          <w:p w14:paraId="50BD0E71" w14:textId="54682D35" w:rsidR="004E4483" w:rsidRPr="004E4483" w:rsidRDefault="004E4483" w:rsidP="004E4483">
            <w:pPr>
              <w:jc w:val="left"/>
              <w:rPr>
                <w:b/>
                <w:bCs/>
                <w:sz w:val="20"/>
                <w:szCs w:val="20"/>
              </w:rPr>
            </w:pPr>
            <w:r w:rsidRPr="004E4483">
              <w:rPr>
                <w:b/>
                <w:bCs/>
                <w:sz w:val="20"/>
                <w:szCs w:val="20"/>
              </w:rPr>
              <w:t xml:space="preserve">Track </w:t>
            </w:r>
            <w:r>
              <w:rPr>
                <w:b/>
                <w:bCs/>
                <w:sz w:val="20"/>
                <w:szCs w:val="20"/>
              </w:rPr>
              <w:t>1</w:t>
            </w:r>
            <w:r w:rsidRPr="004E4483">
              <w:rPr>
                <w:b/>
                <w:bCs/>
                <w:sz w:val="20"/>
                <w:szCs w:val="20"/>
              </w:rPr>
              <w:t xml:space="preserve"> deepening:</w:t>
            </w:r>
            <w:r w:rsidRPr="004E4483">
              <w:rPr>
                <w:sz w:val="20"/>
                <w:szCs w:val="20"/>
              </w:rPr>
              <w:t xml:space="preserve"> multi-source consistency (meter/weather/settlement); cost–risk curve for sampling; dispute/correction workflow; publishable empirical results on data integrity + audit economics</w:t>
            </w:r>
          </w:p>
        </w:tc>
      </w:tr>
      <w:tr w:rsidR="004E4483" w:rsidRPr="004E4483" w14:paraId="41E28529" w14:textId="77777777" w:rsidTr="004E4483">
        <w:trPr>
          <w:trHeight w:val="320"/>
        </w:trPr>
        <w:tc>
          <w:tcPr>
            <w:tcW w:w="706" w:type="dxa"/>
            <w:noWrap/>
            <w:hideMark/>
          </w:tcPr>
          <w:p w14:paraId="4C28AEF9" w14:textId="77777777" w:rsidR="004E4483" w:rsidRPr="004E4483" w:rsidRDefault="004E4483">
            <w:pPr>
              <w:rPr>
                <w:b/>
                <w:bCs/>
                <w:sz w:val="20"/>
                <w:szCs w:val="20"/>
              </w:rPr>
            </w:pPr>
            <w:r w:rsidRPr="004E4483">
              <w:rPr>
                <w:b/>
                <w:bCs/>
                <w:sz w:val="20"/>
                <w:szCs w:val="20"/>
              </w:rPr>
              <w:t>Y3</w:t>
            </w:r>
          </w:p>
        </w:tc>
        <w:tc>
          <w:tcPr>
            <w:tcW w:w="1359" w:type="dxa"/>
            <w:noWrap/>
            <w:hideMark/>
          </w:tcPr>
          <w:p w14:paraId="4FCD5774" w14:textId="77777777" w:rsidR="004E4483" w:rsidRPr="004E4483" w:rsidRDefault="004E4483" w:rsidP="004E4483">
            <w:pPr>
              <w:jc w:val="left"/>
              <w:rPr>
                <w:b/>
                <w:bCs/>
                <w:sz w:val="20"/>
                <w:szCs w:val="20"/>
              </w:rPr>
            </w:pPr>
            <w:r w:rsidRPr="004E4483">
              <w:rPr>
                <w:b/>
                <w:bCs/>
                <w:sz w:val="20"/>
                <w:szCs w:val="20"/>
              </w:rPr>
              <w:t>Stage 2 prep: Vault/NAV design + restricted trading sandbox</w:t>
            </w:r>
          </w:p>
        </w:tc>
        <w:tc>
          <w:tcPr>
            <w:tcW w:w="2567" w:type="dxa"/>
            <w:noWrap/>
            <w:hideMark/>
          </w:tcPr>
          <w:p w14:paraId="13A0E48B" w14:textId="77777777" w:rsidR="004E4483" w:rsidRPr="004E4483" w:rsidRDefault="004E4483" w:rsidP="004E4483">
            <w:pPr>
              <w:jc w:val="left"/>
              <w:rPr>
                <w:sz w:val="20"/>
                <w:szCs w:val="20"/>
              </w:rPr>
            </w:pPr>
            <w:r w:rsidRPr="004E4483">
              <w:rPr>
                <w:sz w:val="20"/>
                <w:szCs w:val="20"/>
              </w:rPr>
              <w:t>Vault specification (</w:t>
            </w:r>
            <w:proofErr w:type="spellStart"/>
            <w:r w:rsidRPr="004E4483">
              <w:rPr>
                <w:sz w:val="20"/>
                <w:szCs w:val="20"/>
              </w:rPr>
              <w:t>vRWA</w:t>
            </w:r>
            <w:proofErr w:type="spellEnd"/>
            <w:r w:rsidRPr="004E4483">
              <w:rPr>
                <w:sz w:val="20"/>
                <w:szCs w:val="20"/>
              </w:rPr>
              <w:t xml:space="preserve"> NAV/share, mint/redeem policy, fee/reserve logic); restricted trading simulation environment (no public AMM yet)</w:t>
            </w:r>
          </w:p>
        </w:tc>
        <w:tc>
          <w:tcPr>
            <w:tcW w:w="4384" w:type="dxa"/>
            <w:noWrap/>
            <w:hideMark/>
          </w:tcPr>
          <w:p w14:paraId="1E6C7573" w14:textId="33A2D6A7" w:rsidR="004E4483" w:rsidRPr="004E4483" w:rsidRDefault="004E4483" w:rsidP="004E4483">
            <w:pPr>
              <w:jc w:val="left"/>
              <w:rPr>
                <w:b/>
                <w:bCs/>
                <w:sz w:val="20"/>
                <w:szCs w:val="20"/>
              </w:rPr>
            </w:pPr>
            <w:r w:rsidRPr="004E4483">
              <w:rPr>
                <w:b/>
                <w:bCs/>
                <w:sz w:val="20"/>
                <w:szCs w:val="20"/>
              </w:rPr>
              <w:t xml:space="preserve">Track </w:t>
            </w:r>
            <w:r>
              <w:rPr>
                <w:b/>
                <w:bCs/>
                <w:sz w:val="20"/>
                <w:szCs w:val="20"/>
              </w:rPr>
              <w:t>2</w:t>
            </w:r>
            <w:r w:rsidRPr="004E4483">
              <w:rPr>
                <w:b/>
                <w:bCs/>
                <w:sz w:val="20"/>
                <w:szCs w:val="20"/>
              </w:rPr>
              <w:t xml:space="preserve"> (Cashflow Structuring):</w:t>
            </w:r>
            <w:r w:rsidRPr="004E4483">
              <w:rPr>
                <w:sz w:val="20"/>
                <w:szCs w:val="20"/>
              </w:rPr>
              <w:t xml:space="preserve"> distributional cashflow forecast + scenario library; </w:t>
            </w:r>
            <w:r w:rsidRPr="004E4483">
              <w:rPr>
                <w:b/>
                <w:bCs/>
                <w:sz w:val="20"/>
                <w:szCs w:val="20"/>
              </w:rPr>
              <w:t xml:space="preserve"> pooling/adverse selection</w:t>
            </w:r>
            <w:r w:rsidRPr="004E4483">
              <w:rPr>
                <w:sz w:val="20"/>
                <w:szCs w:val="20"/>
              </w:rPr>
              <w:t xml:space="preserve"> mechanism proposals; reserve sizing + parametric trigger candidates</w:t>
            </w:r>
          </w:p>
        </w:tc>
      </w:tr>
      <w:tr w:rsidR="004E4483" w:rsidRPr="004E4483" w14:paraId="5B1167F2" w14:textId="77777777" w:rsidTr="004E4483">
        <w:trPr>
          <w:trHeight w:val="320"/>
        </w:trPr>
        <w:tc>
          <w:tcPr>
            <w:tcW w:w="706" w:type="dxa"/>
            <w:noWrap/>
            <w:hideMark/>
          </w:tcPr>
          <w:p w14:paraId="2A1B3B34" w14:textId="77777777" w:rsidR="004E4483" w:rsidRPr="004E4483" w:rsidRDefault="004E4483">
            <w:pPr>
              <w:rPr>
                <w:b/>
                <w:bCs/>
                <w:sz w:val="20"/>
                <w:szCs w:val="20"/>
              </w:rPr>
            </w:pPr>
            <w:r w:rsidRPr="004E4483">
              <w:rPr>
                <w:b/>
                <w:bCs/>
                <w:sz w:val="20"/>
                <w:szCs w:val="20"/>
              </w:rPr>
              <w:t>Y4</w:t>
            </w:r>
          </w:p>
        </w:tc>
        <w:tc>
          <w:tcPr>
            <w:tcW w:w="1359" w:type="dxa"/>
            <w:noWrap/>
            <w:hideMark/>
          </w:tcPr>
          <w:p w14:paraId="71BB1467" w14:textId="77777777" w:rsidR="004E4483" w:rsidRPr="004E4483" w:rsidRDefault="004E4483" w:rsidP="004E4483">
            <w:pPr>
              <w:jc w:val="left"/>
              <w:rPr>
                <w:b/>
                <w:bCs/>
                <w:sz w:val="20"/>
                <w:szCs w:val="20"/>
              </w:rPr>
            </w:pPr>
            <w:r w:rsidRPr="004E4483">
              <w:rPr>
                <w:b/>
                <w:bCs/>
                <w:sz w:val="20"/>
                <w:szCs w:val="20"/>
              </w:rPr>
              <w:t xml:space="preserve">Stage 2: Controlled </w:t>
            </w:r>
            <w:r w:rsidRPr="004E4483">
              <w:rPr>
                <w:b/>
                <w:bCs/>
                <w:sz w:val="20"/>
                <w:szCs w:val="20"/>
              </w:rPr>
              <w:lastRenderedPageBreak/>
              <w:t>market launch</w:t>
            </w:r>
          </w:p>
        </w:tc>
        <w:tc>
          <w:tcPr>
            <w:tcW w:w="2567" w:type="dxa"/>
            <w:noWrap/>
            <w:hideMark/>
          </w:tcPr>
          <w:p w14:paraId="310A9D71" w14:textId="425AD85A" w:rsidR="004E4483" w:rsidRPr="004E4483" w:rsidRDefault="004E4483" w:rsidP="004E4483">
            <w:pPr>
              <w:jc w:val="left"/>
              <w:rPr>
                <w:sz w:val="20"/>
                <w:szCs w:val="20"/>
              </w:rPr>
            </w:pPr>
            <w:r w:rsidRPr="004E4483">
              <w:rPr>
                <w:sz w:val="20"/>
                <w:szCs w:val="20"/>
              </w:rPr>
              <w:lastRenderedPageBreak/>
              <w:t xml:space="preserve">Compliant vault </w:t>
            </w:r>
            <w:r>
              <w:rPr>
                <w:sz w:val="20"/>
                <w:szCs w:val="20"/>
              </w:rPr>
              <w:t>and</w:t>
            </w:r>
            <w:r w:rsidRPr="004E4483">
              <w:rPr>
                <w:sz w:val="20"/>
                <w:szCs w:val="20"/>
              </w:rPr>
              <w:t xml:space="preserve"> (permissioned) AMM launch plan; NAV anchoring rules </w:t>
            </w:r>
            <w:r w:rsidRPr="004E4483">
              <w:rPr>
                <w:sz w:val="20"/>
                <w:szCs w:val="20"/>
              </w:rPr>
              <w:lastRenderedPageBreak/>
              <w:t>(queue/delay/dynamic fees); disclosure tiers; market monitoring KPIs</w:t>
            </w:r>
          </w:p>
        </w:tc>
        <w:tc>
          <w:tcPr>
            <w:tcW w:w="4384" w:type="dxa"/>
            <w:noWrap/>
            <w:hideMark/>
          </w:tcPr>
          <w:p w14:paraId="7F46D2C9" w14:textId="1FEEF73F" w:rsidR="004E4483" w:rsidRPr="004E4483" w:rsidRDefault="004E4483" w:rsidP="004E4483">
            <w:pPr>
              <w:jc w:val="left"/>
              <w:rPr>
                <w:b/>
                <w:bCs/>
                <w:sz w:val="20"/>
                <w:szCs w:val="20"/>
              </w:rPr>
            </w:pPr>
            <w:r w:rsidRPr="004E4483">
              <w:rPr>
                <w:b/>
                <w:bCs/>
                <w:sz w:val="20"/>
                <w:szCs w:val="20"/>
              </w:rPr>
              <w:lastRenderedPageBreak/>
              <w:t xml:space="preserve">Track </w:t>
            </w:r>
            <w:r>
              <w:rPr>
                <w:b/>
                <w:bCs/>
                <w:sz w:val="20"/>
                <w:szCs w:val="20"/>
              </w:rPr>
              <w:t>3</w:t>
            </w:r>
            <w:r w:rsidRPr="004E4483">
              <w:rPr>
                <w:b/>
                <w:bCs/>
                <w:sz w:val="20"/>
                <w:szCs w:val="20"/>
              </w:rPr>
              <w:t xml:space="preserve"> (Restricted market microstructure):</w:t>
            </w:r>
            <w:r w:rsidRPr="004E4483">
              <w:rPr>
                <w:sz w:val="20"/>
                <w:szCs w:val="20"/>
              </w:rPr>
              <w:t xml:space="preserve"> whitelist-constrained AMM parameter optimizer; NAV anchoring stability analysis; disclosure–</w:t>
            </w:r>
            <w:r w:rsidRPr="004E4483">
              <w:rPr>
                <w:sz w:val="20"/>
                <w:szCs w:val="20"/>
              </w:rPr>
              <w:lastRenderedPageBreak/>
              <w:t xml:space="preserve">privacy policy templates </w:t>
            </w:r>
            <w:r>
              <w:rPr>
                <w:sz w:val="20"/>
                <w:szCs w:val="20"/>
              </w:rPr>
              <w:t>and</w:t>
            </w:r>
            <w:r w:rsidRPr="004E4483">
              <w:rPr>
                <w:sz w:val="20"/>
                <w:szCs w:val="20"/>
              </w:rPr>
              <w:t xml:space="preserve"> proof-backed reporting; stress tests for discount/premium stability</w:t>
            </w:r>
          </w:p>
        </w:tc>
      </w:tr>
      <w:tr w:rsidR="004E4483" w:rsidRPr="004E4483" w14:paraId="24B6A93D" w14:textId="77777777" w:rsidTr="004E4483">
        <w:trPr>
          <w:trHeight w:val="320"/>
        </w:trPr>
        <w:tc>
          <w:tcPr>
            <w:tcW w:w="706" w:type="dxa"/>
            <w:noWrap/>
            <w:hideMark/>
          </w:tcPr>
          <w:p w14:paraId="45CDA394" w14:textId="77777777" w:rsidR="004E4483" w:rsidRPr="004E4483" w:rsidRDefault="004E4483">
            <w:pPr>
              <w:rPr>
                <w:b/>
                <w:bCs/>
                <w:sz w:val="20"/>
                <w:szCs w:val="20"/>
              </w:rPr>
            </w:pPr>
            <w:r w:rsidRPr="004E4483">
              <w:rPr>
                <w:b/>
                <w:bCs/>
                <w:sz w:val="20"/>
                <w:szCs w:val="20"/>
              </w:rPr>
              <w:lastRenderedPageBreak/>
              <w:t>Y5</w:t>
            </w:r>
          </w:p>
        </w:tc>
        <w:tc>
          <w:tcPr>
            <w:tcW w:w="1359" w:type="dxa"/>
            <w:noWrap/>
            <w:hideMark/>
          </w:tcPr>
          <w:p w14:paraId="7D09377C" w14:textId="77777777" w:rsidR="004E4483" w:rsidRPr="004E4483" w:rsidRDefault="004E4483" w:rsidP="004E4483">
            <w:pPr>
              <w:jc w:val="left"/>
              <w:rPr>
                <w:b/>
                <w:bCs/>
                <w:sz w:val="20"/>
                <w:szCs w:val="20"/>
              </w:rPr>
            </w:pPr>
            <w:r w:rsidRPr="004E4483">
              <w:rPr>
                <w:b/>
                <w:bCs/>
                <w:sz w:val="20"/>
                <w:szCs w:val="20"/>
              </w:rPr>
              <w:t>Stage 2: Scale + optimization</w:t>
            </w:r>
          </w:p>
        </w:tc>
        <w:tc>
          <w:tcPr>
            <w:tcW w:w="2567" w:type="dxa"/>
            <w:noWrap/>
            <w:hideMark/>
          </w:tcPr>
          <w:p w14:paraId="65A27E44" w14:textId="77777777" w:rsidR="004E4483" w:rsidRPr="004E4483" w:rsidRDefault="004E4483" w:rsidP="004E4483">
            <w:pPr>
              <w:jc w:val="left"/>
              <w:rPr>
                <w:sz w:val="20"/>
                <w:szCs w:val="20"/>
              </w:rPr>
            </w:pPr>
            <w:r w:rsidRPr="004E4483">
              <w:rPr>
                <w:sz w:val="20"/>
                <w:szCs w:val="20"/>
              </w:rPr>
              <w:t>Parameter refinement loop (fee/incentives/redemption policy) based on observed KPIs; maturity playbook for replication across sites</w:t>
            </w:r>
          </w:p>
        </w:tc>
        <w:tc>
          <w:tcPr>
            <w:tcW w:w="4384" w:type="dxa"/>
            <w:noWrap/>
            <w:hideMark/>
          </w:tcPr>
          <w:p w14:paraId="25D2D809" w14:textId="527B63C6" w:rsidR="004E4483" w:rsidRPr="004E4483" w:rsidRDefault="004E4483" w:rsidP="004E4483">
            <w:pPr>
              <w:jc w:val="left"/>
              <w:rPr>
                <w:sz w:val="20"/>
                <w:szCs w:val="20"/>
              </w:rPr>
            </w:pPr>
            <w:r w:rsidRPr="004E4483">
              <w:rPr>
                <w:sz w:val="20"/>
                <w:szCs w:val="20"/>
              </w:rPr>
              <w:t>Consolidated “design handbook” (</w:t>
            </w:r>
            <w:r>
              <w:rPr>
                <w:sz w:val="20"/>
                <w:szCs w:val="20"/>
              </w:rPr>
              <w:t>1</w:t>
            </w:r>
            <w:r w:rsidRPr="004E4483">
              <w:rPr>
                <w:sz w:val="20"/>
                <w:szCs w:val="20"/>
              </w:rPr>
              <w:t>/</w:t>
            </w:r>
            <w:r>
              <w:rPr>
                <w:sz w:val="20"/>
                <w:szCs w:val="20"/>
              </w:rPr>
              <w:t>2</w:t>
            </w:r>
            <w:r w:rsidRPr="004E4483">
              <w:rPr>
                <w:sz w:val="20"/>
                <w:szCs w:val="20"/>
              </w:rPr>
              <w:t>/</w:t>
            </w:r>
            <w:r>
              <w:rPr>
                <w:sz w:val="20"/>
                <w:szCs w:val="20"/>
              </w:rPr>
              <w:t>3</w:t>
            </w:r>
            <w:r w:rsidRPr="004E4483">
              <w:rPr>
                <w:sz w:val="20"/>
                <w:szCs w:val="20"/>
              </w:rPr>
              <w:t xml:space="preserve"> outputs </w:t>
            </w:r>
            <w:r>
              <w:rPr>
                <w:sz w:val="20"/>
                <w:szCs w:val="20"/>
              </w:rPr>
              <w:t>to</w:t>
            </w:r>
            <w:r w:rsidRPr="004E4483">
              <w:rPr>
                <w:sz w:val="20"/>
                <w:szCs w:val="20"/>
              </w:rPr>
              <w:t xml:space="preserve"> implementable parameters); final academic outputs (papers, open-source tools if allowed); performance evaluation against KPIs (slippage/spread/discount stability/audit cost reduction)</w:t>
            </w:r>
          </w:p>
        </w:tc>
      </w:tr>
    </w:tbl>
    <w:p w14:paraId="07835AD7" w14:textId="77777777" w:rsidR="004E4483" w:rsidRPr="00CF5314" w:rsidRDefault="004E4483" w:rsidP="00CF5314"/>
    <w:p w14:paraId="4A2A4B9C" w14:textId="77777777" w:rsidR="001E03C9" w:rsidRPr="001E03C9" w:rsidRDefault="001E03C9" w:rsidP="001E03C9">
      <w:pPr>
        <w:pStyle w:val="NormalWeb"/>
        <w:rPr>
          <w:rFonts w:eastAsia="Times New Roman"/>
          <w:b/>
          <w:bCs/>
          <w:lang w:val="en-US"/>
        </w:rPr>
      </w:pPr>
    </w:p>
    <w:p w14:paraId="172F068F" w14:textId="541BAE4D" w:rsidR="00EB4135" w:rsidRDefault="00E84A39" w:rsidP="00584B64">
      <w:pPr>
        <w:pStyle w:val="Heading1"/>
      </w:pPr>
      <w:r>
        <w:t>Appendix A</w:t>
      </w:r>
      <w:r w:rsidR="00EB4135">
        <w:t xml:space="preserve">. </w:t>
      </w:r>
      <w:r>
        <w:t xml:space="preserve">Technical </w:t>
      </w:r>
      <w:r w:rsidR="00EB4135">
        <w:t xml:space="preserve">Details </w:t>
      </w:r>
      <w:r w:rsidR="00EB4135" w:rsidRPr="00584B64">
        <w:t xml:space="preserve">of the Design for </w:t>
      </w:r>
      <w:r w:rsidR="00A33A5E">
        <w:t>the Main Workflow</w:t>
      </w:r>
    </w:p>
    <w:p w14:paraId="700F6149" w14:textId="26403EBC" w:rsidR="00584B64" w:rsidRPr="00584B64" w:rsidRDefault="00E84A39" w:rsidP="001A26B7">
      <w:pPr>
        <w:pStyle w:val="Heading2"/>
      </w:pPr>
      <w:r>
        <w:t>A</w:t>
      </w:r>
      <w:r w:rsidR="00584B64">
        <w:t>.1</w:t>
      </w:r>
      <w:r w:rsidR="005C0533">
        <w:t>.</w:t>
      </w:r>
      <w:r w:rsidR="00584B64">
        <w:t xml:space="preserve"> </w:t>
      </w:r>
      <w:r w:rsidR="00584B64" w:rsidRPr="00746AB5">
        <w:t xml:space="preserve">Step </w:t>
      </w:r>
      <w:r w:rsidR="00584B64" w:rsidRPr="00746AB5">
        <w:rPr>
          <w:rFonts w:ascii="Cambria Math" w:hAnsi="Cambria Math" w:cs="Cambria Math"/>
          <w:color w:val="0A0A0A"/>
          <w:shd w:val="clear" w:color="auto" w:fill="FFFFFF"/>
        </w:rPr>
        <w:t>① i</w:t>
      </w:r>
      <w:r w:rsidR="00584B64" w:rsidRPr="00746AB5">
        <w:t>nverter financing via RWA issuance and deployment.</w:t>
      </w:r>
    </w:p>
    <w:p w14:paraId="493F90BD" w14:textId="46E619F7" w:rsidR="001A26B7" w:rsidRDefault="00E84A39" w:rsidP="00584B64">
      <w:pPr>
        <w:rPr>
          <w:b/>
          <w:bCs/>
        </w:rPr>
      </w:pPr>
      <w:r>
        <w:rPr>
          <w:rStyle w:val="Heading3Char"/>
        </w:rPr>
        <w:t>A</w:t>
      </w:r>
      <w:r w:rsidR="001A26B7">
        <w:rPr>
          <w:rStyle w:val="Heading3Char"/>
        </w:rPr>
        <w:t>.1.1</w:t>
      </w:r>
      <w:r w:rsidR="005C0533">
        <w:rPr>
          <w:rStyle w:val="Heading3Char"/>
        </w:rPr>
        <w:t>.</w:t>
      </w:r>
      <w:r w:rsidR="00584B64" w:rsidRPr="001A26B7">
        <w:rPr>
          <w:rStyle w:val="Heading3Char"/>
        </w:rPr>
        <w:t xml:space="preserve"> Standard of token: ERC-3525 as default; ERC-1400 as compliant alternative.</w:t>
      </w:r>
      <w:r w:rsidR="00584B64">
        <w:rPr>
          <w:b/>
          <w:bCs/>
        </w:rPr>
        <w:t xml:space="preserve"> </w:t>
      </w:r>
    </w:p>
    <w:p w14:paraId="0C157950" w14:textId="455E2F0B" w:rsidR="00584B64" w:rsidRPr="00584B64" w:rsidRDefault="00584B64" w:rsidP="001A26B7">
      <w:pPr>
        <w:rPr>
          <w:lang w:val="en-US"/>
        </w:rPr>
      </w:pPr>
      <w:r w:rsidRPr="00584B64">
        <w:rPr>
          <w:lang w:val="en-US"/>
        </w:rPr>
        <w:t xml:space="preserve">Under the inverter scenario, the preferred token standard is </w:t>
      </w:r>
      <w:r w:rsidRPr="00584B64">
        <w:rPr>
          <w:b/>
          <w:bCs/>
          <w:lang w:val="en-US"/>
        </w:rPr>
        <w:t>ERC-3525 (semi-fungible token)</w:t>
      </w:r>
      <w:r w:rsidRPr="00584B64">
        <w:rPr>
          <w:lang w:val="en-US"/>
        </w:rPr>
        <w:t xml:space="preserve">. ERC-3525 is selected because it natively supports the “one device, one on-chain identity” requirement: each </w:t>
      </w:r>
      <w:proofErr w:type="spellStart"/>
      <w:r w:rsidRPr="00584B64">
        <w:rPr>
          <w:lang w:val="en-US"/>
        </w:rPr>
        <w:t>tokenId</w:t>
      </w:r>
      <w:proofErr w:type="spellEnd"/>
      <w:r w:rsidRPr="00584B64">
        <w:rPr>
          <w:lang w:val="en-US"/>
        </w:rPr>
        <w:t xml:space="preserve"> can be bound to an inverter serial number (typically stored as a hash for privacy) and can carry device-specific metadata pointers (custody reference, valuation records, commissioning evidence). This structure enables per-inverter traceability across the asset lifecycle and provides a natural substrate for later asset management events (maintenance, replacement, retirement) without collapsing all devices into a single fungible pool. The primary trade-off is engineering overhead: ERC-3525 requires more custom integration work (wallet display, marketplace compatibility, indexing), and therefore increases audit scope relative to a simpler token.</w:t>
      </w:r>
    </w:p>
    <w:p w14:paraId="2EDBB74C" w14:textId="59657C62" w:rsidR="00584B64" w:rsidRDefault="00064AE8" w:rsidP="001A26B7">
      <w:pPr>
        <w:rPr>
          <w:lang w:val="en-US"/>
        </w:rPr>
      </w:pPr>
      <w:r>
        <w:rPr>
          <w:lang w:val="en-US"/>
        </w:rPr>
        <w:t xml:space="preserve">        </w:t>
      </w:r>
      <w:r w:rsidR="00584B64" w:rsidRPr="00584B64">
        <w:rPr>
          <w:lang w:val="en-US"/>
        </w:rPr>
        <w:t xml:space="preserve">A compliant fallback is </w:t>
      </w:r>
      <w:r w:rsidR="00584B64" w:rsidRPr="00584B64">
        <w:rPr>
          <w:b/>
          <w:bCs/>
          <w:lang w:val="en-US"/>
        </w:rPr>
        <w:t>ERC-1400 (security-token standard)</w:t>
      </w:r>
      <w:r w:rsidR="00584B64" w:rsidRPr="00584B64">
        <w:rPr>
          <w:lang w:val="en-US"/>
        </w:rPr>
        <w:t xml:space="preserve">, which is appropriate when transfer restriction and administrative control are paramount. ERC-1400 provides standardized primitives for permissioned transfers (only KYC-approved addresses can hold/trade), global pause, and emergency compliance actions. The cost of this choice is functional and operational complexity: more intricate role management, higher audit burden, and reduced composability with open trading venues. For an RWA offering in Singapore targeting mixed investors, ERC-1400 may be required if the distribution channel or compliance </w:t>
      </w:r>
      <w:r w:rsidR="00584B64" w:rsidRPr="00584B64">
        <w:rPr>
          <w:lang w:val="en-US"/>
        </w:rPr>
        <w:lastRenderedPageBreak/>
        <w:t>partners insist on a security-token framework; otherwise, ERC-3525 with explicit transfer gating in the main contract often provides a more balanced implementation.</w:t>
      </w:r>
    </w:p>
    <w:p w14:paraId="76C0C164" w14:textId="16B66AFF" w:rsidR="001A26B7" w:rsidRDefault="00E84A39" w:rsidP="00584B64">
      <w:pPr>
        <w:rPr>
          <w:b/>
          <w:bCs/>
        </w:rPr>
      </w:pPr>
      <w:r>
        <w:rPr>
          <w:b/>
          <w:bCs/>
          <w:lang w:val="en-US"/>
        </w:rPr>
        <w:t>A</w:t>
      </w:r>
      <w:r w:rsidR="001A26B7">
        <w:rPr>
          <w:b/>
          <w:bCs/>
          <w:lang w:val="en-US"/>
        </w:rPr>
        <w:t>.1.2</w:t>
      </w:r>
      <w:r w:rsidR="005C0533">
        <w:rPr>
          <w:b/>
          <w:bCs/>
          <w:lang w:val="en-US"/>
        </w:rPr>
        <w:t>.</w:t>
      </w:r>
      <w:r w:rsidR="00584B64" w:rsidRPr="001A26B7">
        <w:rPr>
          <w:rStyle w:val="Heading3Char"/>
        </w:rPr>
        <w:t xml:space="preserve"> Contract design: </w:t>
      </w:r>
      <w:proofErr w:type="spellStart"/>
      <w:r w:rsidR="001A26B7" w:rsidRPr="001A26B7">
        <w:rPr>
          <w:rStyle w:val="HTMLCode"/>
          <w:rFonts w:eastAsiaTheme="majorEastAsia"/>
          <w:b/>
          <w:bCs/>
        </w:rPr>
        <w:t>DeyeRWA</w:t>
      </w:r>
      <w:proofErr w:type="spellEnd"/>
      <w:r w:rsidR="00584B64" w:rsidRPr="001A26B7">
        <w:rPr>
          <w:rStyle w:val="Heading3Char"/>
        </w:rPr>
        <w:t xml:space="preserve"> (token lifecycle </w:t>
      </w:r>
      <w:r w:rsidR="00D11329">
        <w:rPr>
          <w:rStyle w:val="Heading3Char"/>
        </w:rPr>
        <w:t>&amp;</w:t>
      </w:r>
      <w:r w:rsidR="00584B64" w:rsidRPr="001A26B7">
        <w:rPr>
          <w:rStyle w:val="Heading3Char"/>
        </w:rPr>
        <w:t xml:space="preserve"> compliance) and </w:t>
      </w:r>
      <w:proofErr w:type="spellStart"/>
      <w:r w:rsidR="00D11329">
        <w:rPr>
          <w:rStyle w:val="HTMLCode"/>
          <w:rFonts w:eastAsiaTheme="minorEastAsia"/>
          <w:b/>
          <w:bCs/>
        </w:rPr>
        <w:t>RewardDistributor</w:t>
      </w:r>
      <w:proofErr w:type="spellEnd"/>
      <w:r w:rsidR="00584B64" w:rsidRPr="001A26B7">
        <w:rPr>
          <w:rStyle w:val="Heading3Char"/>
        </w:rPr>
        <w:t xml:space="preserve"> (USDC vault </w:t>
      </w:r>
      <w:r w:rsidR="00D11329">
        <w:rPr>
          <w:rStyle w:val="Heading3Char"/>
        </w:rPr>
        <w:t>&amp;</w:t>
      </w:r>
      <w:r w:rsidR="00584B64" w:rsidRPr="001A26B7">
        <w:rPr>
          <w:rStyle w:val="Heading3Char"/>
        </w:rPr>
        <w:t xml:space="preserve"> claims)</w:t>
      </w:r>
      <w:r w:rsidR="001A26B7" w:rsidRPr="001A26B7">
        <w:rPr>
          <w:rStyle w:val="Heading3Char"/>
        </w:rPr>
        <w:t>.</w:t>
      </w:r>
      <w:r w:rsidR="001A26B7">
        <w:rPr>
          <w:b/>
          <w:bCs/>
        </w:rPr>
        <w:t xml:space="preserve"> </w:t>
      </w:r>
    </w:p>
    <w:p w14:paraId="5ACABE66" w14:textId="42F2C6C8" w:rsidR="00584B64" w:rsidRDefault="001A26B7" w:rsidP="001A26B7">
      <w:r>
        <w:t>The design should be explicitly separated into two contracts to reduce audit surface and to enforce a clean security boundary between (a) asset representation and (b) cash custody and payout execution.</w:t>
      </w:r>
    </w:p>
    <w:p w14:paraId="05C170DE" w14:textId="7202A188" w:rsidR="001A26B7" w:rsidRPr="00584B64" w:rsidRDefault="001A26B7" w:rsidP="00584B64">
      <w:pPr>
        <w:spacing w:before="0" w:after="0"/>
        <w:rPr>
          <w:b/>
          <w:bCs/>
          <w:lang w:val="en-US"/>
        </w:rPr>
      </w:pPr>
      <w:proofErr w:type="spellStart"/>
      <w:r w:rsidRPr="001A26B7">
        <w:rPr>
          <w:rStyle w:val="HTMLCode"/>
          <w:rFonts w:eastAsiaTheme="majorEastAsia"/>
          <w:b/>
          <w:bCs/>
        </w:rPr>
        <w:t>DeyeRWA</w:t>
      </w:r>
      <w:proofErr w:type="spellEnd"/>
      <w:r>
        <w:t xml:space="preserve"> </w:t>
      </w:r>
      <w:r w:rsidRPr="001A26B7">
        <w:rPr>
          <w:b/>
          <w:bCs/>
        </w:rPr>
        <w:t>contract (ERC-3525 issuer and asset registry).</w:t>
      </w:r>
      <w:r>
        <w:t xml:space="preserve"> </w:t>
      </w:r>
      <w:proofErr w:type="spellStart"/>
      <w:r>
        <w:rPr>
          <w:rStyle w:val="HTMLCode"/>
          <w:rFonts w:eastAsiaTheme="majorEastAsia"/>
        </w:rPr>
        <w:t>DeyeRWA</w:t>
      </w:r>
      <w:proofErr w:type="spellEnd"/>
      <w:r>
        <w:t xml:space="preserve"> is the canonical on-chain record of “which tokens exist and what physical assets they represent.” It should implement ERC-3525 minting and maintain an internal “</w:t>
      </w:r>
      <w:r w:rsidRPr="001A26B7">
        <w:rPr>
          <w:rStyle w:val="Strong"/>
          <w:b w:val="0"/>
          <w:bCs w:val="0"/>
        </w:rPr>
        <w:t>Asset Registry</w:t>
      </w:r>
      <w:r>
        <w:rPr>
          <w:rStyle w:val="Strong"/>
          <w:b w:val="0"/>
          <w:bCs w:val="0"/>
        </w:rPr>
        <w:t>”</w:t>
      </w:r>
      <w:r>
        <w:t xml:space="preserve"> keyed by </w:t>
      </w:r>
      <w:proofErr w:type="spellStart"/>
      <w:r>
        <w:rPr>
          <w:rStyle w:val="HTMLCode"/>
          <w:rFonts w:eastAsiaTheme="majorEastAsia"/>
        </w:rPr>
        <w:t>tokenId</w:t>
      </w:r>
      <w:proofErr w:type="spellEnd"/>
      <w:r>
        <w:t xml:space="preserve">. Each registry entry should minimally include: </w:t>
      </w:r>
      <w:proofErr w:type="spellStart"/>
      <w:r>
        <w:rPr>
          <w:rStyle w:val="HTMLCode"/>
          <w:rFonts w:eastAsiaTheme="majorEastAsia"/>
        </w:rPr>
        <w:t>serialHash</w:t>
      </w:r>
      <w:proofErr w:type="spellEnd"/>
      <w:r>
        <w:t xml:space="preserve">, </w:t>
      </w:r>
      <w:proofErr w:type="spellStart"/>
      <w:r>
        <w:rPr>
          <w:rStyle w:val="HTMLCode"/>
          <w:rFonts w:eastAsiaTheme="majorEastAsia"/>
        </w:rPr>
        <w:t>siteHash</w:t>
      </w:r>
      <w:proofErr w:type="spellEnd"/>
      <w:r>
        <w:t xml:space="preserve">, </w:t>
      </w:r>
      <w:proofErr w:type="spellStart"/>
      <w:r>
        <w:rPr>
          <w:rStyle w:val="HTMLCode"/>
          <w:rFonts w:eastAsiaTheme="majorEastAsia"/>
        </w:rPr>
        <w:t>commissioningHash</w:t>
      </w:r>
      <w:proofErr w:type="spellEnd"/>
      <w:r>
        <w:t xml:space="preserve"> (pointer to the commissioning package stored off-chain), </w:t>
      </w:r>
      <w:proofErr w:type="spellStart"/>
      <w:r>
        <w:rPr>
          <w:rStyle w:val="HTMLCode"/>
          <w:rFonts w:eastAsiaTheme="majorEastAsia"/>
        </w:rPr>
        <w:t>commissionedAt</w:t>
      </w:r>
      <w:proofErr w:type="spellEnd"/>
      <w:r>
        <w:t xml:space="preserve">, and an explicit </w:t>
      </w:r>
      <w:r>
        <w:rPr>
          <w:rStyle w:val="HTMLCode"/>
          <w:rFonts w:eastAsiaTheme="majorEastAsia"/>
        </w:rPr>
        <w:t>status</w:t>
      </w:r>
      <w:r>
        <w:t xml:space="preserve"> field. The </w:t>
      </w:r>
      <w:r>
        <w:rPr>
          <w:rStyle w:val="HTMLCode"/>
          <w:rFonts w:eastAsiaTheme="majorEastAsia"/>
        </w:rPr>
        <w:t>status</w:t>
      </w:r>
      <w:r>
        <w:t xml:space="preserve"> should follow a strict state machine such as </w:t>
      </w:r>
      <w:r w:rsidRPr="001A26B7">
        <w:rPr>
          <w:rStyle w:val="Strong"/>
          <w:b w:val="0"/>
          <w:bCs w:val="0"/>
        </w:rPr>
        <w:t>PENDING → ACTIVE → (SUSPENDED) → RETIRED</w:t>
      </w:r>
      <w:r>
        <w:t xml:space="preserve">, where (a) PENDING tokens may be minted during financing but are not eligible for rewards, (b) ACTIVE tokens are commissioned and reward-eligible, (c) SUSPENDED tokens are temporarily frozen due to disputes/faults, and (d) RETIRED tokens are permanently removed from reward eligibility (and optionally burned if the legal structure requires). Activation (PENDING → ACTIVE) should require multi-party authorization (e.g., issuer </w:t>
      </w:r>
      <w:proofErr w:type="spellStart"/>
      <w:r>
        <w:t>multisig</w:t>
      </w:r>
      <w:proofErr w:type="spellEnd"/>
      <w:r>
        <w:t xml:space="preserve"> plus custodian/installer attestation) to prevent over-issuance or “paper deployments.”</w:t>
      </w:r>
    </w:p>
    <w:p w14:paraId="6189DA01" w14:textId="0BE98628" w:rsidR="00584B64" w:rsidRDefault="00064AE8" w:rsidP="00584B64">
      <w:proofErr w:type="spellStart"/>
      <w:r>
        <w:rPr>
          <w:rStyle w:val="HTMLCode"/>
          <w:rFonts w:eastAsiaTheme="minorEastAsia"/>
          <w:b/>
          <w:bCs/>
        </w:rPr>
        <w:t>RewardDistributor</w:t>
      </w:r>
      <w:proofErr w:type="spellEnd"/>
      <w:r>
        <w:rPr>
          <w:rStyle w:val="Strong"/>
        </w:rPr>
        <w:t xml:space="preserve"> contract (USDC custody and scalable reward claims).</w:t>
      </w:r>
      <w:r>
        <w:br/>
      </w:r>
      <w:proofErr w:type="spellStart"/>
      <w:r>
        <w:rPr>
          <w:rStyle w:val="HTMLCode"/>
          <w:rFonts w:eastAsiaTheme="minorEastAsia"/>
        </w:rPr>
        <w:t>RewardDistributor</w:t>
      </w:r>
      <w:proofErr w:type="spellEnd"/>
      <w:r>
        <w:rPr>
          <w:rStyle w:val="HTMLCode"/>
          <w:rFonts w:eastAsiaTheme="minorEastAsia"/>
        </w:rPr>
        <w:t xml:space="preserve"> </w:t>
      </w:r>
      <w:r>
        <w:t xml:space="preserve">is the sole contract authorized to hold and disburse USDC rewards to token holders. It should not implement token issuance logic; rather, it should consume (1) the periodically reward amount determined by the oracle process and (2) an entitlement rule that determines who can claim. The contract should be designed to avoid on-chain iteration over holders, and therefore should implement a </w:t>
      </w:r>
      <w:r>
        <w:rPr>
          <w:rStyle w:val="Strong"/>
        </w:rPr>
        <w:t>pull-based claim mechanism</w:t>
      </w:r>
      <w:r>
        <w:t xml:space="preserve">. The most scalable design for periodically payouts under a per-inverter token model is to store, for each day </w:t>
      </w:r>
      <w:r>
        <w:rPr>
          <w:rStyle w:val="HTMLCode"/>
          <w:rFonts w:eastAsiaTheme="minorEastAsia"/>
        </w:rPr>
        <w:t>D</w:t>
      </w:r>
      <w:r>
        <w:t xml:space="preserve">, a distribution record containing: </w:t>
      </w:r>
      <w:proofErr w:type="spellStart"/>
      <w:r>
        <w:rPr>
          <w:rStyle w:val="HTMLCode"/>
          <w:rFonts w:eastAsiaTheme="minorEastAsia"/>
        </w:rPr>
        <w:t>totalRewardUSDC</w:t>
      </w:r>
      <w:proofErr w:type="spellEnd"/>
      <w:r>
        <w:t xml:space="preserve">, </w:t>
      </w:r>
      <w:proofErr w:type="spellStart"/>
      <w:r>
        <w:rPr>
          <w:rStyle w:val="HTMLCode"/>
          <w:rFonts w:eastAsiaTheme="minorEastAsia"/>
        </w:rPr>
        <w:t>snapshotDefinition</w:t>
      </w:r>
      <w:proofErr w:type="spellEnd"/>
      <w:r>
        <w:t xml:space="preserve"> (or reference), and an </w:t>
      </w:r>
      <w:r>
        <w:rPr>
          <w:rStyle w:val="Strong"/>
        </w:rPr>
        <w:t>entitlement commitment</w:t>
      </w:r>
      <w:r>
        <w:t xml:space="preserve"> (typically a Merkle root over </w:t>
      </w:r>
      <w:r>
        <w:rPr>
          <w:rStyle w:val="HTMLCode"/>
          <w:rFonts w:eastAsiaTheme="minorEastAsia"/>
        </w:rPr>
        <w:t>(</w:t>
      </w:r>
      <w:proofErr w:type="spellStart"/>
      <w:r>
        <w:rPr>
          <w:rStyle w:val="HTMLCode"/>
          <w:rFonts w:eastAsiaTheme="minorEastAsia"/>
        </w:rPr>
        <w:t>claimerAddress</w:t>
      </w:r>
      <w:proofErr w:type="spellEnd"/>
      <w:r>
        <w:rPr>
          <w:rStyle w:val="HTMLCode"/>
          <w:rFonts w:eastAsiaTheme="minorEastAsia"/>
        </w:rPr>
        <w:t>, amount)</w:t>
      </w:r>
      <w:r>
        <w:t xml:space="preserve"> for that day). Users then claim by submitting </w:t>
      </w:r>
      <w:r>
        <w:rPr>
          <w:rStyle w:val="HTMLCode"/>
          <w:rFonts w:eastAsiaTheme="minorEastAsia"/>
        </w:rPr>
        <w:t xml:space="preserve">(amount, </w:t>
      </w:r>
      <w:proofErr w:type="spellStart"/>
      <w:r>
        <w:rPr>
          <w:rStyle w:val="HTMLCode"/>
          <w:rFonts w:eastAsiaTheme="minorEastAsia"/>
        </w:rPr>
        <w:t>MerkleProof</w:t>
      </w:r>
      <w:proofErr w:type="spellEnd"/>
      <w:r>
        <w:rPr>
          <w:rStyle w:val="HTMLCode"/>
          <w:rFonts w:eastAsiaTheme="minorEastAsia"/>
        </w:rPr>
        <w:t>)</w:t>
      </w:r>
      <w:r>
        <w:t xml:space="preserve"> and the contract enforces one-claim-per-day-per-address before transferring USDC.</w:t>
      </w:r>
    </w:p>
    <w:p w14:paraId="3E56AAFF" w14:textId="4F6C154D" w:rsidR="00064AE8" w:rsidRDefault="00064AE8" w:rsidP="00584B64">
      <w:r>
        <w:t xml:space="preserve">        A non-negotiable solvency constraint is that </w:t>
      </w:r>
      <w:proofErr w:type="spellStart"/>
      <w:r>
        <w:rPr>
          <w:rStyle w:val="HTMLCode"/>
          <w:rFonts w:eastAsiaTheme="majorEastAsia"/>
        </w:rPr>
        <w:t>RewardDistributor</w:t>
      </w:r>
      <w:proofErr w:type="spellEnd"/>
      <w:r>
        <w:t xml:space="preserve"> must only “open” a day’s distribution if the USDC has actually been received on-chain. The recommended pattern </w:t>
      </w:r>
      <w:r>
        <w:lastRenderedPageBreak/>
        <w:t xml:space="preserve">is atomic funding: upon </w:t>
      </w:r>
      <w:proofErr w:type="spellStart"/>
      <w:r>
        <w:rPr>
          <w:rStyle w:val="HTMLCode"/>
          <w:rFonts w:eastAsiaTheme="majorEastAsia"/>
        </w:rPr>
        <w:t>notifyReward</w:t>
      </w:r>
      <w:proofErr w:type="spellEnd"/>
      <w:r>
        <w:rPr>
          <w:rStyle w:val="HTMLCode"/>
          <w:rFonts w:eastAsiaTheme="majorEastAsia"/>
        </w:rPr>
        <w:t>(Date,</w:t>
      </w:r>
      <w:r w:rsidR="005C0533">
        <w:rPr>
          <w:rStyle w:val="HTMLCode"/>
          <w:rFonts w:eastAsiaTheme="majorEastAsia"/>
        </w:rPr>
        <w:t xml:space="preserve"> </w:t>
      </w:r>
      <w:r>
        <w:rPr>
          <w:rStyle w:val="HTMLCode"/>
          <w:rFonts w:eastAsiaTheme="majorEastAsia"/>
        </w:rPr>
        <w:t>amount)</w:t>
      </w:r>
      <w:r>
        <w:t xml:space="preserve">, the contract executes </w:t>
      </w:r>
      <w:proofErr w:type="spellStart"/>
      <w:r>
        <w:rPr>
          <w:rStyle w:val="HTMLCode"/>
          <w:rFonts w:eastAsiaTheme="majorEastAsia"/>
        </w:rPr>
        <w:t>USDC.transferFrom</w:t>
      </w:r>
      <w:proofErr w:type="spellEnd"/>
      <w:r>
        <w:rPr>
          <w:rStyle w:val="HTMLCode"/>
          <w:rFonts w:eastAsiaTheme="majorEastAsia"/>
        </w:rPr>
        <w:t>(treasury, address(this), amount)</w:t>
      </w:r>
      <w:r>
        <w:t xml:space="preserve"> and reverts if the transfer fails. This ensures that any recorded periodically reward is fully funded, eliminating under-collateralized payout promises and strengthening auditability for investors and regulators.</w:t>
      </w:r>
    </w:p>
    <w:p w14:paraId="6675F5F2" w14:textId="2456F43C" w:rsidR="005C0533" w:rsidRPr="00584B64" w:rsidRDefault="00E84A39" w:rsidP="00EF30E1">
      <w:pPr>
        <w:pStyle w:val="Heading3"/>
        <w:rPr>
          <w:bCs/>
          <w:lang w:val="en-US"/>
        </w:rPr>
      </w:pPr>
      <w:r>
        <w:t>A</w:t>
      </w:r>
      <w:r w:rsidR="005C0533">
        <w:t xml:space="preserve">.1.3. </w:t>
      </w:r>
      <w:r w:rsidR="00EF30E1">
        <w:t>Practical issuance and deployment workflow: mint/bind/activate aligned with financing milestones</w:t>
      </w:r>
    </w:p>
    <w:p w14:paraId="57594845" w14:textId="19EC9C5F" w:rsidR="00EB4135" w:rsidRDefault="00EF30E1" w:rsidP="00746AB5">
      <w:r>
        <w:t xml:space="preserve">Operationally, Step </w:t>
      </w:r>
      <w:r>
        <w:rPr>
          <w:rFonts w:ascii="Cambria Math" w:hAnsi="Cambria Math" w:cs="Cambria Math"/>
        </w:rPr>
        <w:t>①</w:t>
      </w:r>
      <w:r>
        <w:t xml:space="preserve"> should be executed as a milestone-aligned lifecycle. Tokens may be minted during the fundraising phase (typically in PENDING status), but binding and activation must be conditioned on verified deployment. After funds are raised and procurement/installation occurs off-chain, each inverter’s commissioning package (serial, site, installer sign-off, gateway provisioning record, and optional meter installation record) is uploaded to off-chain storage; its hash is then anchored in the </w:t>
      </w:r>
      <w:proofErr w:type="spellStart"/>
      <w:r>
        <w:rPr>
          <w:rStyle w:val="HTMLCode"/>
          <w:rFonts w:eastAsiaTheme="majorEastAsia"/>
        </w:rPr>
        <w:t>DeyeRWA</w:t>
      </w:r>
      <w:proofErr w:type="spellEnd"/>
      <w:r>
        <w:t xml:space="preserve"> registry, and the corresponding </w:t>
      </w:r>
      <w:proofErr w:type="spellStart"/>
      <w:r>
        <w:t>tokenId</w:t>
      </w:r>
      <w:proofErr w:type="spellEnd"/>
      <w:r>
        <w:t xml:space="preserve"> is transitioned to ACTIVE. Only ACTIVE </w:t>
      </w:r>
      <w:proofErr w:type="spellStart"/>
      <w:r>
        <w:t>tokenIds</w:t>
      </w:r>
      <w:proofErr w:type="spellEnd"/>
      <w:r>
        <w:t xml:space="preserve"> are included in subsequent daily reward entitlement computations used by </w:t>
      </w:r>
      <w:proofErr w:type="spellStart"/>
      <w:r>
        <w:rPr>
          <w:rStyle w:val="HTMLCode"/>
          <w:rFonts w:eastAsiaTheme="majorEastAsia"/>
        </w:rPr>
        <w:t>RewardDistributor</w:t>
      </w:r>
      <w:proofErr w:type="spellEnd"/>
      <w:r>
        <w:t>. This sequencing is critical: it prevents yield accrual to undeployed assets and provides a defensible on-chain audit trail that links investor funds to deployed equipment and to future cashflow eligibility.</w:t>
      </w:r>
    </w:p>
    <w:p w14:paraId="1ADA394B" w14:textId="70FE6C38" w:rsidR="009A1898" w:rsidRDefault="00E84A39" w:rsidP="009A1898">
      <w:pPr>
        <w:pStyle w:val="Heading2"/>
      </w:pPr>
      <w:r>
        <w:t>A</w:t>
      </w:r>
      <w:r w:rsidR="009A1898">
        <w:t xml:space="preserve">.2. Step </w:t>
      </w:r>
      <w:r w:rsidR="009A1898">
        <w:rPr>
          <w:rFonts w:ascii="Cambria Math" w:hAnsi="Cambria Math" w:cs="Cambria Math"/>
        </w:rPr>
        <w:t>②</w:t>
      </w:r>
      <w:r w:rsidR="009A1898">
        <w:t xml:space="preserve"> Inverter data aggregation and oracle attestation (information stream).</w:t>
      </w:r>
    </w:p>
    <w:p w14:paraId="120534BB" w14:textId="3EE4FC20" w:rsidR="00746AB5" w:rsidRDefault="00E84A39" w:rsidP="009A1898">
      <w:pPr>
        <w:pStyle w:val="Heading3"/>
      </w:pPr>
      <w:r>
        <w:t>A</w:t>
      </w:r>
      <w:r w:rsidR="009A1898">
        <w:t>.2.1. Aggregation and output: “original data” and “hash commitment” as two parallel outputs</w:t>
      </w:r>
    </w:p>
    <w:p w14:paraId="4CAF8423" w14:textId="559BD7FD" w:rsidR="00746AB5" w:rsidRDefault="009A1898" w:rsidP="00746AB5">
      <w:r>
        <w:t xml:space="preserve">Inverter telemetry is first collected at scale (across many rooftops) and normalized by the Data Aggregator into a canonical periodic dataset. The aggregator outputs </w:t>
      </w:r>
      <w:r>
        <w:rPr>
          <w:rStyle w:val="Strong"/>
        </w:rPr>
        <w:t>two artifacts in parallel</w:t>
      </w:r>
      <w:r>
        <w:t xml:space="preserve">. First, it outputs the </w:t>
      </w:r>
      <w:r>
        <w:rPr>
          <w:rStyle w:val="Strong"/>
        </w:rPr>
        <w:t>original dataset</w:t>
      </w:r>
      <w:r>
        <w:t xml:space="preserve"> (the full batch file containing inverter-level records for a given period), which is written to off-chain storage for durability, audit, and later dispute resolution. Second, it outputs a </w:t>
      </w:r>
      <w:r>
        <w:rPr>
          <w:rStyle w:val="Strong"/>
        </w:rPr>
        <w:t>cryptographic commitment</w:t>
      </w:r>
      <w:r>
        <w:t xml:space="preserve"> derived from that stored dataset—typically a </w:t>
      </w:r>
      <w:proofErr w:type="spellStart"/>
      <w:r>
        <w:rPr>
          <w:rStyle w:val="HTMLCode"/>
          <w:rFonts w:eastAsiaTheme="minorEastAsia"/>
        </w:rPr>
        <w:t>batchHash</w:t>
      </w:r>
      <w:proofErr w:type="spellEnd"/>
      <w:r>
        <w:t xml:space="preserve"> (hash of the stored file bytes) and, when inclusion proofs are needed, a </w:t>
      </w:r>
      <w:proofErr w:type="spellStart"/>
      <w:r>
        <w:rPr>
          <w:rStyle w:val="HTMLCode"/>
          <w:rFonts w:eastAsiaTheme="minorEastAsia"/>
        </w:rPr>
        <w:t>MerkleRoot</w:t>
      </w:r>
      <w:proofErr w:type="spellEnd"/>
      <w:r>
        <w:t xml:space="preserve"> over per-inverter records. The original dataset is required for transparency and third-party verification; the hash/</w:t>
      </w:r>
      <w:proofErr w:type="spellStart"/>
      <w:r>
        <w:t>merkle</w:t>
      </w:r>
      <w:proofErr w:type="spellEnd"/>
      <w:r>
        <w:t xml:space="preserve"> commitment is required for efficient on-chain anchoring and tamper detection. In practice, the oracle and downstream contracts rely on the commitment values, while the batch file serves as the immutable reference that can be re-downloaded and re-hashed to validate integrity.</w:t>
      </w:r>
    </w:p>
    <w:p w14:paraId="207A2E90" w14:textId="03376FC5" w:rsidR="009A1898" w:rsidRDefault="00E84A39" w:rsidP="009A1898">
      <w:pPr>
        <w:pStyle w:val="Heading3"/>
      </w:pPr>
      <w:r>
        <w:lastRenderedPageBreak/>
        <w:t>A</w:t>
      </w:r>
      <w:r w:rsidR="009A1898">
        <w:t>.2.2. Input data format and why DON consensus is important</w:t>
      </w:r>
    </w:p>
    <w:p w14:paraId="66D7F1A2" w14:textId="635DC270" w:rsidR="00746AB5" w:rsidRDefault="009A1898" w:rsidP="00746AB5">
      <w:r>
        <w:t xml:space="preserve">The input to the oracle layer should be a deterministic “oracle package” produced per period, containing at minimum: </w:t>
      </w:r>
      <w:r>
        <w:rPr>
          <w:rStyle w:val="HTMLCode"/>
          <w:rFonts w:eastAsiaTheme="majorEastAsia"/>
        </w:rPr>
        <w:t>{</w:t>
      </w:r>
      <w:proofErr w:type="spellStart"/>
      <w:r>
        <w:rPr>
          <w:rStyle w:val="HTMLCode"/>
          <w:rFonts w:eastAsiaTheme="majorEastAsia"/>
        </w:rPr>
        <w:t>period_id</w:t>
      </w:r>
      <w:proofErr w:type="spellEnd"/>
      <w:r>
        <w:rPr>
          <w:rStyle w:val="HTMLCode"/>
          <w:rFonts w:eastAsiaTheme="majorEastAsia"/>
        </w:rPr>
        <w:t xml:space="preserve">, </w:t>
      </w:r>
      <w:proofErr w:type="spellStart"/>
      <w:r>
        <w:rPr>
          <w:rStyle w:val="HTMLCode"/>
          <w:rFonts w:eastAsiaTheme="majorEastAsia"/>
        </w:rPr>
        <w:t>batchURI</w:t>
      </w:r>
      <w:proofErr w:type="spellEnd"/>
      <w:r>
        <w:rPr>
          <w:rStyle w:val="HTMLCode"/>
          <w:rFonts w:eastAsiaTheme="majorEastAsia"/>
        </w:rPr>
        <w:t xml:space="preserve">, </w:t>
      </w:r>
      <w:proofErr w:type="spellStart"/>
      <w:r>
        <w:rPr>
          <w:rStyle w:val="HTMLCode"/>
          <w:rFonts w:eastAsiaTheme="majorEastAsia"/>
        </w:rPr>
        <w:t>batchHash</w:t>
      </w:r>
      <w:proofErr w:type="spellEnd"/>
      <w:r>
        <w:rPr>
          <w:rStyle w:val="HTMLCode"/>
          <w:rFonts w:eastAsiaTheme="majorEastAsia"/>
        </w:rPr>
        <w:t xml:space="preserve">, </w:t>
      </w:r>
      <w:proofErr w:type="spellStart"/>
      <w:r>
        <w:rPr>
          <w:rStyle w:val="HTMLCode"/>
          <w:rFonts w:eastAsiaTheme="majorEastAsia"/>
        </w:rPr>
        <w:t>merkleRoot</w:t>
      </w:r>
      <w:proofErr w:type="spellEnd"/>
      <w:r>
        <w:rPr>
          <w:rStyle w:val="HTMLCode"/>
          <w:rFonts w:eastAsiaTheme="majorEastAsia"/>
        </w:rPr>
        <w:t xml:space="preserve"> (optional), </w:t>
      </w:r>
      <w:proofErr w:type="spellStart"/>
      <w:r>
        <w:rPr>
          <w:rStyle w:val="HTMLCode"/>
          <w:rFonts w:eastAsiaTheme="majorEastAsia"/>
        </w:rPr>
        <w:t>schemaVersion</w:t>
      </w:r>
      <w:proofErr w:type="spellEnd"/>
      <w:r>
        <w:rPr>
          <w:rStyle w:val="HTMLCode"/>
          <w:rFonts w:eastAsiaTheme="majorEastAsia"/>
        </w:rPr>
        <w:t>, timestamp}</w:t>
      </w:r>
      <w:r>
        <w:t xml:space="preserve"> and, where appropriate, governance signatures (e.g., issuer/custodian) over these fields. The DON’s role is not to ingest raw high-frequency telemetry; it is to </w:t>
      </w:r>
      <w:r>
        <w:rPr>
          <w:rStyle w:val="Strong"/>
        </w:rPr>
        <w:t>independently retrieve and validate</w:t>
      </w:r>
      <w:r>
        <w:t xml:space="preserve"> the oracle package and (when configured) recompute the commitment from the referenced batch file to confirm that the published hash matches the stored data. DON consensus is important because it mitigates single-source failure and manipulation risks: a centralized publisher (or a compromised backend) could otherwise unilaterally post incorrect production numbers. By requiring multiple independent oracle nodes to converge on the same commitment values under a predefined verification procedure, the system strengthens data credibility for investors, auditors, and regulated distribution, and reduces governance disputes when rewards are computed from that data.</w:t>
      </w:r>
    </w:p>
    <w:p w14:paraId="0D92EE08" w14:textId="7FBF3169" w:rsidR="009A1898" w:rsidRDefault="00E84A39" w:rsidP="009A1898">
      <w:pPr>
        <w:pStyle w:val="Heading3"/>
      </w:pPr>
      <w:r>
        <w:t>A</w:t>
      </w:r>
      <w:r w:rsidR="009A1898">
        <w:t>.2.3. On-chain release via router contract and benefits over direct custom callbacks</w:t>
      </w:r>
    </w:p>
    <w:p w14:paraId="7B80300C" w14:textId="2C75AC83" w:rsidR="00746AB5" w:rsidRDefault="009A1898" w:rsidP="00746AB5">
      <w:r>
        <w:t xml:space="preserve">Once the DON reaches agreement on the oracle package, it delivers the attested values on-chain through a </w:t>
      </w:r>
      <w:r>
        <w:rPr>
          <w:rStyle w:val="Strong"/>
        </w:rPr>
        <w:t>router contract</w:t>
      </w:r>
      <w:r>
        <w:t xml:space="preserve"> (</w:t>
      </w:r>
      <w:proofErr w:type="spellStart"/>
      <w:r>
        <w:rPr>
          <w:rStyle w:val="HTMLCode"/>
          <w:rFonts w:eastAsiaTheme="majorEastAsia"/>
        </w:rPr>
        <w:t>FunctionsRouter</w:t>
      </w:r>
      <w:proofErr w:type="spellEnd"/>
      <w:r>
        <w:t xml:space="preserve"> smart contract). The router provides a standardized, access-controlled callback mechanism that routes the verified oracle output to the application layer (e.g., </w:t>
      </w:r>
      <w:proofErr w:type="spellStart"/>
      <w:r>
        <w:rPr>
          <w:rStyle w:val="HTMLCode"/>
          <w:rFonts w:eastAsiaTheme="minorEastAsia"/>
        </w:rPr>
        <w:t>DeyeRWA</w:t>
      </w:r>
      <w:proofErr w:type="spellEnd"/>
      <w:r>
        <w:t xml:space="preserve"> and/or an oracle-commitment module), where the period’s </w:t>
      </w:r>
      <w:proofErr w:type="spellStart"/>
      <w:r>
        <w:rPr>
          <w:rStyle w:val="HTMLCode"/>
          <w:rFonts w:eastAsiaTheme="minorEastAsia"/>
        </w:rPr>
        <w:t>batchHash</w:t>
      </w:r>
      <w:proofErr w:type="spellEnd"/>
      <w:r>
        <w:rPr>
          <w:rStyle w:val="HTMLCode"/>
          <w:rFonts w:eastAsiaTheme="minorEastAsia"/>
        </w:rPr>
        <w:t>/</w:t>
      </w:r>
      <w:proofErr w:type="spellStart"/>
      <w:r>
        <w:rPr>
          <w:rStyle w:val="HTMLCode"/>
          <w:rFonts w:eastAsiaTheme="minorEastAsia"/>
        </w:rPr>
        <w:t>merkleRoot</w:t>
      </w:r>
      <w:proofErr w:type="spellEnd"/>
      <w:r>
        <w:t xml:space="preserve"> is persisted as the canonical on-chain reference. Using a router contract—rather than having your own contract directly accept arbitrary off-chain submissions—offers three practical benefits: (1) </w:t>
      </w:r>
      <w:r>
        <w:rPr>
          <w:rStyle w:val="Strong"/>
        </w:rPr>
        <w:t>standardized security and authentication</w:t>
      </w:r>
      <w:r>
        <w:t xml:space="preserve">, since callbacks originate from a known router interface and can be restricted to verified request IDs and authorized oracle workflows; (2) </w:t>
      </w:r>
      <w:r>
        <w:rPr>
          <w:rStyle w:val="Strong"/>
        </w:rPr>
        <w:t>operational robustness</w:t>
      </w:r>
      <w:r>
        <w:t xml:space="preserve">, because request execution, retries, and node coordination are handled within a mature oracle framework rather than bespoke infrastructure; and (3) </w:t>
      </w:r>
      <w:r>
        <w:rPr>
          <w:rStyle w:val="Strong"/>
        </w:rPr>
        <w:t>clean separation of concerns</w:t>
      </w:r>
      <w:r>
        <w:t>, where your RWA contracts remain focused on asset lifecycle and payout eligibility while the oracle network and router handle off-chain retrieval and delivery. This reduces the audit surface of your core RWA contracts and lowers the risk that oracle-specific complexity compromises token logic or reward accounting.</w:t>
      </w:r>
    </w:p>
    <w:p w14:paraId="0D3C2DED" w14:textId="3D6EBFEE" w:rsidR="00746AB5" w:rsidRPr="00746AB5" w:rsidRDefault="00E84A39" w:rsidP="00E1728B">
      <w:pPr>
        <w:pStyle w:val="Heading2"/>
      </w:pPr>
      <w:r>
        <w:lastRenderedPageBreak/>
        <w:t>A</w:t>
      </w:r>
      <w:r w:rsidR="00E1728B">
        <w:t xml:space="preserve">.3. </w:t>
      </w:r>
      <w:r w:rsidR="00E1728B" w:rsidRPr="00E1728B">
        <w:t xml:space="preserve">Step </w:t>
      </w:r>
      <w:r w:rsidR="00E1728B" w:rsidRPr="00E1728B">
        <w:rPr>
          <w:rFonts w:ascii="Cambria Math" w:hAnsi="Cambria Math" w:cs="Cambria Math"/>
        </w:rPr>
        <w:t>③</w:t>
      </w:r>
      <w:r w:rsidR="00E1728B" w:rsidRPr="00E1728B">
        <w:t xml:space="preserve"> Cashflow settlement and on-chain reward funding (</w:t>
      </w:r>
      <w:r w:rsidR="00E1728B">
        <w:t>cashflow</w:t>
      </w:r>
      <w:r w:rsidR="00E1728B" w:rsidRPr="00E1728B">
        <w:t xml:space="preserve"> stream</w:t>
      </w:r>
      <w:r w:rsidR="00E1728B">
        <w:t xml:space="preserve"> for rewards</w:t>
      </w:r>
      <w:r w:rsidR="00E1728B" w:rsidRPr="00E1728B">
        <w:t xml:space="preserve">, parallel to Step </w:t>
      </w:r>
      <w:r w:rsidR="00E1728B" w:rsidRPr="00E1728B">
        <w:rPr>
          <w:rFonts w:ascii="Cambria Math" w:hAnsi="Cambria Math" w:cs="Cambria Math"/>
        </w:rPr>
        <w:t>②</w:t>
      </w:r>
      <w:r w:rsidR="00E1728B" w:rsidRPr="00E1728B">
        <w:t>).</w:t>
      </w:r>
    </w:p>
    <w:p w14:paraId="47E7466F" w14:textId="30D114EE" w:rsidR="00F1183B" w:rsidRDefault="00E84A39" w:rsidP="00E1728B">
      <w:pPr>
        <w:pStyle w:val="Heading3"/>
      </w:pPr>
      <w:r>
        <w:rPr>
          <w:lang w:val="en-US"/>
        </w:rPr>
        <w:t>A</w:t>
      </w:r>
      <w:r w:rsidR="00E1728B">
        <w:rPr>
          <w:lang w:val="en-US"/>
        </w:rPr>
        <w:t xml:space="preserve">.3.1. </w:t>
      </w:r>
      <w:r w:rsidR="00E1728B">
        <w:t>How electricity is sold to purchasers</w:t>
      </w:r>
    </w:p>
    <w:p w14:paraId="58468B1F" w14:textId="28E1C5EA" w:rsidR="00E1728B" w:rsidRDefault="00E1728B" w:rsidP="00E1728B">
      <w:r>
        <w:t xml:space="preserve">Electricity produced by the rooftop inverter fleet is monetized through one (or a combination) of standard sale channels, chosen according to the site’s grid interconnection and contractual environment. In the simplest structure, each rooftop site sells electricity under a </w:t>
      </w:r>
      <w:r>
        <w:rPr>
          <w:rStyle w:val="Strong"/>
        </w:rPr>
        <w:t>power purchase agreement (PPA)</w:t>
      </w:r>
      <w:r>
        <w:t xml:space="preserve"> to a building owner/tenant (behind-the-meter consumption), where revenue is calculated from metered consumption offsets at an agreed tariff. Alternatively, sites may export to the grid under an </w:t>
      </w:r>
      <w:r>
        <w:rPr>
          <w:rStyle w:val="Strong"/>
        </w:rPr>
        <w:t>export arrangement</w:t>
      </w:r>
      <w:r>
        <w:t xml:space="preserve"> where an </w:t>
      </w:r>
      <w:proofErr w:type="spellStart"/>
      <w:r>
        <w:t>offtaker</w:t>
      </w:r>
      <w:proofErr w:type="spellEnd"/>
      <w:r>
        <w:t xml:space="preserve">/utility settles delivered energy based on revenue-grade metering at the point of common coupling. Regardless of channel, Step </w:t>
      </w:r>
      <w:r>
        <w:rPr>
          <w:rFonts w:ascii="Cambria Math" w:hAnsi="Cambria Math" w:cs="Cambria Math"/>
        </w:rPr>
        <w:t>③</w:t>
      </w:r>
      <w:r>
        <w:t xml:space="preserve"> should define a settlement basis that is objective and auditable—preferably a revenue-grade meter reading per site and period—because this becomes the authoritative reference for fiat revenue. Where multiple rooftops exist, revenue is naturally determined at the site level (metered settlement), and can later be allocated to individual inverter tokens using the production shares recorded in Step </w:t>
      </w:r>
      <w:r>
        <w:rPr>
          <w:rFonts w:ascii="Cambria Math" w:hAnsi="Cambria Math" w:cs="Cambria Math"/>
        </w:rPr>
        <w:t>②</w:t>
      </w:r>
      <w:r>
        <w:t>.</w:t>
      </w:r>
    </w:p>
    <w:p w14:paraId="13CC61F4" w14:textId="470CD3E2" w:rsidR="00E1728B" w:rsidRDefault="00E84A39" w:rsidP="00E1728B">
      <w:pPr>
        <w:pStyle w:val="Heading3"/>
      </w:pPr>
      <w:r>
        <w:t>A</w:t>
      </w:r>
      <w:r w:rsidR="00E1728B">
        <w:t xml:space="preserve">.3.2. Fiat collection, stablecoin conversion, and funding the </w:t>
      </w:r>
      <w:proofErr w:type="spellStart"/>
      <w:r w:rsidR="00E1728B">
        <w:rPr>
          <w:rStyle w:val="HTMLCode"/>
          <w:rFonts w:eastAsiaTheme="minorEastAsia"/>
          <w:bCs/>
        </w:rPr>
        <w:t>RewardDistributor</w:t>
      </w:r>
      <w:proofErr w:type="spellEnd"/>
      <w:r w:rsidR="00E1728B">
        <w:t xml:space="preserve"> contract</w:t>
      </w:r>
    </w:p>
    <w:p w14:paraId="7FA1C9F3" w14:textId="122CDD86" w:rsidR="00E1728B" w:rsidRDefault="00E1728B" w:rsidP="00E1728B">
      <w:r>
        <w:t>Once electricity is sold, the purchaser (utility/</w:t>
      </w:r>
      <w:proofErr w:type="spellStart"/>
      <w:r>
        <w:t>offtaker</w:t>
      </w:r>
      <w:proofErr w:type="spellEnd"/>
      <w:r>
        <w:t xml:space="preserve">/building counterparty) pays Deye (or a dedicated SPV/treasury entity) in fiat, typically SGD, into a controlled bank account. Deye then converts the fiat proceeds into stablecoins (e.g., USDC) via a stablecoin issuer or regulated liquidity provider (or, operationally, via an exchange/OTC desk), and transfers the resulting stablecoins to the on-chain </w:t>
      </w:r>
      <w:proofErr w:type="spellStart"/>
      <w:r>
        <w:rPr>
          <w:rStyle w:val="HTMLCode"/>
          <w:rFonts w:eastAsiaTheme="majorEastAsia"/>
        </w:rPr>
        <w:t>RewardDistributor</w:t>
      </w:r>
      <w:proofErr w:type="spellEnd"/>
      <w:r>
        <w:t xml:space="preserve"> contract on the target L2 (e.g., Base), as depicted in your workflow (bank → stablecoin issuer → stablecoins → </w:t>
      </w:r>
      <w:proofErr w:type="spellStart"/>
      <w:r>
        <w:t>RewardDistributor</w:t>
      </w:r>
      <w:proofErr w:type="spellEnd"/>
      <w:r>
        <w:t xml:space="preserve">). For control and auditability, the recommended operational pattern is that the </w:t>
      </w:r>
      <w:proofErr w:type="spellStart"/>
      <w:r>
        <w:rPr>
          <w:rStyle w:val="HTMLCode"/>
          <w:rFonts w:eastAsiaTheme="majorEastAsia"/>
        </w:rPr>
        <w:t>RewardDistributor</w:t>
      </w:r>
      <w:proofErr w:type="spellEnd"/>
      <w:r>
        <w:t xml:space="preserve"> opens a distribution period only when stablecoins are </w:t>
      </w:r>
      <w:r>
        <w:rPr>
          <w:rStyle w:val="Strong"/>
        </w:rPr>
        <w:t>actually received on-chain</w:t>
      </w:r>
      <w:r>
        <w:t xml:space="preserve">: either the treasury directly transfers USDC into the contract, or the treasury grants an allowance and the contract pulls funds via </w:t>
      </w:r>
      <w:proofErr w:type="spellStart"/>
      <w:r>
        <w:rPr>
          <w:rStyle w:val="HTMLCode"/>
          <w:rFonts w:eastAsiaTheme="majorEastAsia"/>
        </w:rPr>
        <w:t>transferFrom</w:t>
      </w:r>
      <w:proofErr w:type="spellEnd"/>
      <w:r>
        <w:t xml:space="preserve"> inside the same transaction that records the day’s funded amount. This ensures that any recorded reward distribution is fully collateralized by USDC already held in the contract, preventing “paper payouts” not backed by real cash receipts.</w:t>
      </w:r>
    </w:p>
    <w:p w14:paraId="472671AA" w14:textId="187F717A" w:rsidR="00E1728B" w:rsidRDefault="00E84A39" w:rsidP="00E1728B">
      <w:pPr>
        <w:pStyle w:val="Heading3"/>
      </w:pPr>
      <w:r>
        <w:lastRenderedPageBreak/>
        <w:t>A</w:t>
      </w:r>
      <w:r w:rsidR="00E1728B">
        <w:t xml:space="preserve">.3.3. Ensuring consistency between Step </w:t>
      </w:r>
      <w:r w:rsidR="00E1728B">
        <w:rPr>
          <w:rFonts w:ascii="Cambria Math" w:hAnsi="Cambria Math" w:cs="Cambria Math"/>
        </w:rPr>
        <w:t>③</w:t>
      </w:r>
      <w:r w:rsidR="00E1728B">
        <w:t xml:space="preserve"> (cashflow) and Step </w:t>
      </w:r>
      <w:r w:rsidR="00E1728B">
        <w:rPr>
          <w:rFonts w:ascii="Cambria Math" w:hAnsi="Cambria Math" w:cs="Cambria Math"/>
        </w:rPr>
        <w:t>②</w:t>
      </w:r>
      <w:r w:rsidR="00E1728B">
        <w:t xml:space="preserve"> (recording)</w:t>
      </w:r>
    </w:p>
    <w:p w14:paraId="32224172" w14:textId="2F084C32" w:rsidR="00E1728B" w:rsidRDefault="00E1728B" w:rsidP="00E1728B">
      <w:r>
        <w:t xml:space="preserve">Consistency is achieved by a formal reconciliation policy that links the oracle-recorded production dataset to the cash settlement basis and enforces the link both operationally and on-chain. First, define the </w:t>
      </w:r>
      <w:r>
        <w:rPr>
          <w:rStyle w:val="Strong"/>
        </w:rPr>
        <w:t>settlement truth</w:t>
      </w:r>
      <w:r>
        <w:t xml:space="preserve"> as the metered energy and tariff terms used to compute fiat revenue (e.g., per-site export meter × tariff). Second, use Step </w:t>
      </w:r>
      <w:r>
        <w:rPr>
          <w:rFonts w:ascii="Cambria Math" w:hAnsi="Cambria Math" w:cs="Cambria Math"/>
        </w:rPr>
        <w:t>②</w:t>
      </w:r>
      <w:r>
        <w:t xml:space="preserve">’s inverter production records to provide an </w:t>
      </w:r>
      <w:r>
        <w:rPr>
          <w:rStyle w:val="Strong"/>
        </w:rPr>
        <w:t>allocation basis</w:t>
      </w:r>
      <w:r>
        <w:t xml:space="preserve"> (e.g., each inverter’s share of site production) while treating the settlement revenue as the binding total. Third, publish an auditable “daily settlement package” off-chain (meter readings, invoices, receipts, FX/stablecoin conversion details, and resulting USDC amount), store it in off-chain storage, and commit its hash alongside the day’s production commitment. Finally, enforce an on-chain solvency constraint in </w:t>
      </w:r>
      <w:proofErr w:type="spellStart"/>
      <w:r>
        <w:rPr>
          <w:rStyle w:val="HTMLCode"/>
          <w:rFonts w:eastAsiaTheme="minorEastAsia"/>
        </w:rPr>
        <w:t>RewardDistributor</w:t>
      </w:r>
      <w:proofErr w:type="spellEnd"/>
      <w:r>
        <w:t xml:space="preserve">: the daily funded amount must equal the stablecoins transferred in that day, and the on-chain record for that distribution must reference the corresponding Step </w:t>
      </w:r>
      <w:r>
        <w:rPr>
          <w:rFonts w:ascii="Cambria Math" w:hAnsi="Cambria Math" w:cs="Cambria Math"/>
        </w:rPr>
        <w:t>②</w:t>
      </w:r>
      <w:r>
        <w:t xml:space="preserve"> commitment (period id / root / hash). Under this structure, Step </w:t>
      </w:r>
      <w:r>
        <w:rPr>
          <w:rFonts w:ascii="Cambria Math" w:hAnsi="Cambria Math" w:cs="Cambria Math"/>
        </w:rPr>
        <w:t>②</w:t>
      </w:r>
      <w:r>
        <w:t xml:space="preserve"> determines </w:t>
      </w:r>
      <w:r>
        <w:rPr>
          <w:rStyle w:val="Emphasis"/>
        </w:rPr>
        <w:t>what was produced</w:t>
      </w:r>
      <w:r>
        <w:t xml:space="preserve"> and supports traceability, while Step </w:t>
      </w:r>
      <w:r>
        <w:rPr>
          <w:rFonts w:ascii="Cambria Math" w:hAnsi="Cambria Math" w:cs="Cambria Math"/>
        </w:rPr>
        <w:t>③</w:t>
      </w:r>
      <w:r>
        <w:t xml:space="preserve"> determines </w:t>
      </w:r>
      <w:r>
        <w:rPr>
          <w:rStyle w:val="Emphasis"/>
        </w:rPr>
        <w:t>what was paid</w:t>
      </w:r>
      <w:r>
        <w:t xml:space="preserve"> and guarantees that on-chain distributions never exceed realized and converted revenue. Any discrepancy (meter vs inverter sum, invoiced vs received, received vs funded) is surfaced as a flagged reconciliation state and can trigger a hold, correction, or audit workflow before claims are opened.</w:t>
      </w:r>
    </w:p>
    <w:p w14:paraId="17CFB612" w14:textId="2F707430" w:rsidR="00E1728B" w:rsidRDefault="00E84A39" w:rsidP="00E1728B">
      <w:pPr>
        <w:pStyle w:val="Heading2"/>
      </w:pPr>
      <w:r>
        <w:t>A</w:t>
      </w:r>
      <w:r w:rsidR="00E1728B">
        <w:t xml:space="preserve">.4. </w:t>
      </w:r>
      <w:r w:rsidR="00E1728B" w:rsidRPr="00E1728B">
        <w:t xml:space="preserve">Step </w:t>
      </w:r>
      <w:r w:rsidR="00E1728B" w:rsidRPr="00E1728B">
        <w:rPr>
          <w:rFonts w:ascii="Cambria Math" w:hAnsi="Cambria Math" w:cs="Cambria Math"/>
        </w:rPr>
        <w:t>④</w:t>
      </w:r>
      <w:r w:rsidR="00E1728B" w:rsidRPr="00E1728B">
        <w:t xml:space="preserve"> On-chain accounting update and investor reward claiming (execution layer).</w:t>
      </w:r>
    </w:p>
    <w:p w14:paraId="4191AE17" w14:textId="3BC84A47" w:rsidR="00E1728B" w:rsidRDefault="00E84A39" w:rsidP="00E1728B">
      <w:pPr>
        <w:pStyle w:val="Heading3"/>
      </w:pPr>
      <w:r>
        <w:t>A</w:t>
      </w:r>
      <w:r w:rsidR="00E1728B">
        <w:t>.4.1. How the two contracts update records from the oracle contract</w:t>
      </w:r>
    </w:p>
    <w:p w14:paraId="4C7FF89C" w14:textId="77777777" w:rsidR="00E1728B" w:rsidRPr="00E1728B" w:rsidRDefault="00E1728B" w:rsidP="00E1728B">
      <w:r w:rsidRPr="00E1728B">
        <w:t xml:space="preserve">Upon DON consensus, the router contract delivers the period payload to the application layer. </w:t>
      </w:r>
      <w:r w:rsidRPr="00E1728B">
        <w:rPr>
          <w:rFonts w:ascii="Courier New" w:hAnsi="Courier New" w:cs="Courier New"/>
          <w:sz w:val="20"/>
          <w:szCs w:val="20"/>
        </w:rPr>
        <w:t>DeyeRWA</w:t>
      </w:r>
      <w:r w:rsidRPr="00E1728B">
        <w:t xml:space="preserve"> records the canonical production commitment for the period—typically </w:t>
      </w:r>
      <w:r w:rsidRPr="00E1728B">
        <w:rPr>
          <w:rFonts w:ascii="Courier New" w:hAnsi="Courier New" w:cs="Courier New"/>
          <w:sz w:val="20"/>
          <w:szCs w:val="20"/>
        </w:rPr>
        <w:t>(periodId, batchURI, batchHash, productionRoot, status)</w:t>
      </w:r>
      <w:r w:rsidRPr="00E1728B">
        <w:t xml:space="preserve">—thereby anchoring the exact dataset from which rewards are computed. In parallel, </w:t>
      </w:r>
      <w:r w:rsidRPr="00E1728B">
        <w:rPr>
          <w:rFonts w:ascii="Courier New" w:hAnsi="Courier New" w:cs="Courier New"/>
          <w:sz w:val="20"/>
          <w:szCs w:val="20"/>
        </w:rPr>
        <w:t>RewardDistributor</w:t>
      </w:r>
      <w:r w:rsidRPr="00E1728B">
        <w:t xml:space="preserve"> records the distribution commitment for the same period—typically </w:t>
      </w:r>
      <w:r w:rsidRPr="00E1728B">
        <w:rPr>
          <w:rFonts w:ascii="Courier New" w:hAnsi="Courier New" w:cs="Courier New"/>
          <w:sz w:val="20"/>
          <w:szCs w:val="20"/>
        </w:rPr>
        <w:t>(periodId, oracleRef, entitlementRoot, totalRewardUSDC)</w:t>
      </w:r>
      <w:r w:rsidRPr="00E1728B">
        <w:t xml:space="preserve">—where </w:t>
      </w:r>
      <w:r w:rsidRPr="00E1728B">
        <w:rPr>
          <w:rFonts w:ascii="Courier New" w:hAnsi="Courier New" w:cs="Courier New"/>
          <w:sz w:val="20"/>
          <w:szCs w:val="20"/>
        </w:rPr>
        <w:t>oracleRef</w:t>
      </w:r>
      <w:r w:rsidRPr="00E1728B">
        <w:t xml:space="preserve"> explicitly references the corresponding </w:t>
      </w:r>
      <w:r w:rsidRPr="00E1728B">
        <w:rPr>
          <w:rFonts w:ascii="Courier New" w:hAnsi="Courier New" w:cs="Courier New"/>
          <w:sz w:val="20"/>
          <w:szCs w:val="20"/>
        </w:rPr>
        <w:t>DeyeRWA</w:t>
      </w:r>
      <w:r w:rsidRPr="00E1728B">
        <w:t xml:space="preserve"> production commitment (e.g., by storing </w:t>
      </w:r>
      <w:r w:rsidRPr="00E1728B">
        <w:rPr>
          <w:rFonts w:ascii="Courier New" w:hAnsi="Courier New" w:cs="Courier New"/>
          <w:sz w:val="20"/>
          <w:szCs w:val="20"/>
        </w:rPr>
        <w:t>productionRoot</w:t>
      </w:r>
      <w:r w:rsidRPr="00E1728B">
        <w:t xml:space="preserve"> or a commitment identifier). This dual-record design ensures that (a) the token contract remains the system-of-record for “what physical performance was attested,” and (b) the distributor contract becomes the system-of-record for “what payout entitlements are claimable,” with an explicit cryptographic linkage between the two.</w:t>
      </w:r>
    </w:p>
    <w:p w14:paraId="647166D1" w14:textId="7BA38578" w:rsidR="00E1728B" w:rsidRPr="00E1728B" w:rsidRDefault="00E1728B" w:rsidP="00E1728B">
      <w:r>
        <w:rPr>
          <w:lang w:val="en-US"/>
        </w:rPr>
        <w:lastRenderedPageBreak/>
        <w:t xml:space="preserve">        </w:t>
      </w:r>
      <w:r w:rsidRPr="00E1728B">
        <w:t xml:space="preserve">Operationally, the update sequence should be deterministic and enforced by access control: only the router callback (or an oracle-authorized relayer) can write the period commitments, and the distributor should reject any distribution record whose </w:t>
      </w:r>
      <w:r w:rsidRPr="00E1728B">
        <w:rPr>
          <w:rFonts w:ascii="Courier New" w:hAnsi="Courier New" w:cs="Courier New"/>
          <w:sz w:val="20"/>
          <w:szCs w:val="20"/>
        </w:rPr>
        <w:t>oracleRef</w:t>
      </w:r>
      <w:r w:rsidRPr="00E1728B">
        <w:t xml:space="preserve"> does not match a finalized production commitment in </w:t>
      </w:r>
      <w:r w:rsidRPr="00E1728B">
        <w:rPr>
          <w:rFonts w:ascii="Courier New" w:hAnsi="Courier New" w:cs="Courier New"/>
          <w:sz w:val="20"/>
          <w:szCs w:val="20"/>
        </w:rPr>
        <w:t>DeyeRWA</w:t>
      </w:r>
      <w:r w:rsidRPr="00E1728B">
        <w:t>. This prevents accidental or malicious creation of claimable entitlements not backed by the attested dataset.</w:t>
      </w:r>
    </w:p>
    <w:p w14:paraId="0C251ED2" w14:textId="71343D25" w:rsidR="00E1728B" w:rsidRDefault="00E84A39" w:rsidP="00E1728B">
      <w:pPr>
        <w:pStyle w:val="Heading3"/>
      </w:pPr>
      <w:r>
        <w:rPr>
          <w:lang w:val="en-US"/>
        </w:rPr>
        <w:t>A</w:t>
      </w:r>
      <w:r w:rsidR="00E1728B">
        <w:rPr>
          <w:lang w:val="en-US"/>
        </w:rPr>
        <w:t xml:space="preserve">.4.2. </w:t>
      </w:r>
      <w:r w:rsidR="00E1728B">
        <w:t>Distribution contract design to prevent inconsistency between money and record</w:t>
      </w:r>
    </w:p>
    <w:p w14:paraId="045D69DA" w14:textId="10617897" w:rsidR="00E1728B" w:rsidRDefault="00E1728B" w:rsidP="00E1728B">
      <w:proofErr w:type="spellStart"/>
      <w:r>
        <w:rPr>
          <w:rStyle w:val="HTMLCode"/>
          <w:rFonts w:eastAsiaTheme="majorEastAsia"/>
        </w:rPr>
        <w:t>RewardDistributor</w:t>
      </w:r>
      <w:proofErr w:type="spellEnd"/>
      <w:r>
        <w:t xml:space="preserve"> must enforce a strict solvency invariant: a period becomes claimable </w:t>
      </w:r>
      <w:r w:rsidRPr="00E1728B">
        <w:rPr>
          <w:rStyle w:val="Strong"/>
          <w:b w:val="0"/>
          <w:bCs w:val="0"/>
        </w:rPr>
        <w:t>only if the corresponding USDC is already escrowed inside the distributor contract</w:t>
      </w:r>
      <w:r>
        <w:t xml:space="preserve">. The preferred mechanism is </w:t>
      </w:r>
      <w:r w:rsidRPr="00E1728B">
        <w:rPr>
          <w:rStyle w:val="Strong"/>
          <w:b w:val="0"/>
          <w:bCs w:val="0"/>
        </w:rPr>
        <w:t>atomic funding on record creation</w:t>
      </w:r>
      <w:r>
        <w:t xml:space="preserve">. Concretely, the function that opens a new distribution period (e.g., </w:t>
      </w:r>
      <w:proofErr w:type="spellStart"/>
      <w:r>
        <w:rPr>
          <w:rStyle w:val="HTMLCode"/>
          <w:rFonts w:eastAsiaTheme="majorEastAsia"/>
        </w:rPr>
        <w:t>openPeriod</w:t>
      </w:r>
      <w:proofErr w:type="spellEnd"/>
      <w:r>
        <w:rPr>
          <w:rStyle w:val="HTMLCode"/>
          <w:rFonts w:eastAsiaTheme="majorEastAsia"/>
        </w:rPr>
        <w:t>(</w:t>
      </w:r>
      <w:proofErr w:type="spellStart"/>
      <w:r>
        <w:rPr>
          <w:rStyle w:val="HTMLCode"/>
          <w:rFonts w:eastAsiaTheme="majorEastAsia"/>
        </w:rPr>
        <w:t>periodId</w:t>
      </w:r>
      <w:proofErr w:type="spellEnd"/>
      <w:r>
        <w:rPr>
          <w:rStyle w:val="HTMLCode"/>
          <w:rFonts w:eastAsiaTheme="majorEastAsia"/>
        </w:rPr>
        <w:t xml:space="preserve">, </w:t>
      </w:r>
      <w:proofErr w:type="spellStart"/>
      <w:r>
        <w:rPr>
          <w:rStyle w:val="HTMLCode"/>
          <w:rFonts w:eastAsiaTheme="majorEastAsia"/>
        </w:rPr>
        <w:t>totalRewardUSDC</w:t>
      </w:r>
      <w:proofErr w:type="spellEnd"/>
      <w:r>
        <w:rPr>
          <w:rStyle w:val="HTMLCode"/>
          <w:rFonts w:eastAsiaTheme="majorEastAsia"/>
        </w:rPr>
        <w:t xml:space="preserve">, </w:t>
      </w:r>
      <w:proofErr w:type="spellStart"/>
      <w:r>
        <w:rPr>
          <w:rStyle w:val="HTMLCode"/>
          <w:rFonts w:eastAsiaTheme="majorEastAsia"/>
        </w:rPr>
        <w:t>entitlementRoot</w:t>
      </w:r>
      <w:proofErr w:type="spellEnd"/>
      <w:r>
        <w:rPr>
          <w:rStyle w:val="HTMLCode"/>
          <w:rFonts w:eastAsiaTheme="majorEastAsia"/>
        </w:rPr>
        <w:t xml:space="preserve">, </w:t>
      </w:r>
      <w:proofErr w:type="spellStart"/>
      <w:r>
        <w:rPr>
          <w:rStyle w:val="HTMLCode"/>
          <w:rFonts w:eastAsiaTheme="majorEastAsia"/>
        </w:rPr>
        <w:t>oracleRef</w:t>
      </w:r>
      <w:proofErr w:type="spellEnd"/>
      <w:r>
        <w:rPr>
          <w:rStyle w:val="HTMLCode"/>
          <w:rFonts w:eastAsiaTheme="majorEastAsia"/>
        </w:rPr>
        <w:t>)</w:t>
      </w:r>
      <w:r>
        <w:t xml:space="preserve">) must execute </w:t>
      </w:r>
      <w:proofErr w:type="spellStart"/>
      <w:r>
        <w:rPr>
          <w:rStyle w:val="HTMLCode"/>
          <w:rFonts w:eastAsiaTheme="majorEastAsia"/>
        </w:rPr>
        <w:t>USDC.transferFrom</w:t>
      </w:r>
      <w:proofErr w:type="spellEnd"/>
      <w:r>
        <w:rPr>
          <w:rStyle w:val="HTMLCode"/>
          <w:rFonts w:eastAsiaTheme="majorEastAsia"/>
        </w:rPr>
        <w:t xml:space="preserve">(treasury, address(this), </w:t>
      </w:r>
      <w:proofErr w:type="spellStart"/>
      <w:r>
        <w:rPr>
          <w:rStyle w:val="HTMLCode"/>
          <w:rFonts w:eastAsiaTheme="majorEastAsia"/>
        </w:rPr>
        <w:t>totalRewardUSDC</w:t>
      </w:r>
      <w:proofErr w:type="spellEnd"/>
      <w:r>
        <w:rPr>
          <w:rStyle w:val="HTMLCode"/>
          <w:rFonts w:eastAsiaTheme="majorEastAsia"/>
        </w:rPr>
        <w:t>)</w:t>
      </w:r>
      <w:r>
        <w:t xml:space="preserve"> within the same transaction and revert if the transfer fails. As a result, the on-chain record of </w:t>
      </w:r>
      <w:proofErr w:type="spellStart"/>
      <w:r>
        <w:rPr>
          <w:rStyle w:val="HTMLCode"/>
          <w:rFonts w:eastAsiaTheme="majorEastAsia"/>
        </w:rPr>
        <w:t>totalRewardUSDC</w:t>
      </w:r>
      <w:proofErr w:type="spellEnd"/>
      <w:r>
        <w:t xml:space="preserve"> cannot exist without the matching USDC being held by the contract, structurally preventing underfunded promises.</w:t>
      </w:r>
    </w:p>
    <w:p w14:paraId="7C9AED3F" w14:textId="1978BAF9" w:rsidR="00E1728B" w:rsidRDefault="00E1728B" w:rsidP="00E1728B">
      <w:r>
        <w:t xml:space="preserve">       In addition, the distributor should enforce referential consistency by requiring that </w:t>
      </w:r>
      <w:proofErr w:type="spellStart"/>
      <w:r>
        <w:rPr>
          <w:rStyle w:val="HTMLCode"/>
          <w:rFonts w:eastAsiaTheme="majorEastAsia"/>
        </w:rPr>
        <w:t>oracleRef</w:t>
      </w:r>
      <w:proofErr w:type="spellEnd"/>
      <w:r>
        <w:t xml:space="preserve"> corresponds to a finalized commitment in </w:t>
      </w:r>
      <w:proofErr w:type="spellStart"/>
      <w:r>
        <w:rPr>
          <w:rStyle w:val="HTMLCode"/>
          <w:rFonts w:eastAsiaTheme="majorEastAsia"/>
        </w:rPr>
        <w:t>DeyeRWA</w:t>
      </w:r>
      <w:proofErr w:type="spellEnd"/>
      <w:r>
        <w:t xml:space="preserve">, and should maintain one-claim-per-address-per-period bookkeeping to prevent double claims. If corrections are ever required (e.g., reconciliation dispute between Step </w:t>
      </w:r>
      <w:r>
        <w:rPr>
          <w:rFonts w:ascii="Cambria Math" w:hAnsi="Cambria Math" w:cs="Cambria Math"/>
        </w:rPr>
        <w:t>②</w:t>
      </w:r>
      <w:r>
        <w:t xml:space="preserve"> and Step </w:t>
      </w:r>
      <w:r>
        <w:rPr>
          <w:rFonts w:ascii="Cambria Math" w:hAnsi="Cambria Math" w:cs="Cambria Math"/>
        </w:rPr>
        <w:t>③</w:t>
      </w:r>
      <w:r>
        <w:t>), the distributor should not overwrite existing state; instead, it should open a new versioned period record and explicitly invalidate the earlier one for claiming, preserving auditability and eliminating ambiguity about which entitlement set is authoritative.</w:t>
      </w:r>
    </w:p>
    <w:p w14:paraId="17CCCE11" w14:textId="2718351F" w:rsidR="00E1728B" w:rsidRDefault="00E84A39" w:rsidP="00E1728B">
      <w:pPr>
        <w:pStyle w:val="Heading3"/>
      </w:pPr>
      <w:r>
        <w:t>A</w:t>
      </w:r>
      <w:r w:rsidR="00E1728B">
        <w:t>.4.3. Permit/approval model for claiming: treasury approval for USDC, eligibility anchored to the oracle commitment</w:t>
      </w:r>
    </w:p>
    <w:p w14:paraId="460A6505" w14:textId="63BA33DC" w:rsidR="00E1728B" w:rsidRDefault="00E1728B" w:rsidP="00E1728B">
      <w:r>
        <w:t xml:space="preserve">Eligibility is proven cryptographically by presenting </w:t>
      </w:r>
      <w:r>
        <w:rPr>
          <w:rStyle w:val="HTMLCode"/>
          <w:rFonts w:eastAsiaTheme="majorEastAsia"/>
        </w:rPr>
        <w:t xml:space="preserve">(amount, </w:t>
      </w:r>
      <w:proofErr w:type="spellStart"/>
      <w:r>
        <w:rPr>
          <w:rStyle w:val="HTMLCode"/>
          <w:rFonts w:eastAsiaTheme="majorEastAsia"/>
        </w:rPr>
        <w:t>MerkleProof</w:t>
      </w:r>
      <w:proofErr w:type="spellEnd"/>
      <w:r>
        <w:rPr>
          <w:rStyle w:val="HTMLCode"/>
          <w:rFonts w:eastAsiaTheme="majorEastAsia"/>
        </w:rPr>
        <w:t>)</w:t>
      </w:r>
      <w:r>
        <w:t xml:space="preserve"> against the stored </w:t>
      </w:r>
      <w:proofErr w:type="spellStart"/>
      <w:r>
        <w:rPr>
          <w:rStyle w:val="HTMLCode"/>
          <w:rFonts w:eastAsiaTheme="majorEastAsia"/>
        </w:rPr>
        <w:t>entitlementRoot</w:t>
      </w:r>
      <w:proofErr w:type="spellEnd"/>
      <w:r>
        <w:t xml:space="preserve"> for the period. The only “permit” required for execution is therefore the </w:t>
      </w:r>
      <w:r w:rsidRPr="00E1728B">
        <w:rPr>
          <w:rStyle w:val="Strong"/>
          <w:b w:val="0"/>
          <w:bCs w:val="0"/>
        </w:rPr>
        <w:t>treasury’s USDC allowance</w:t>
      </w:r>
      <w:r>
        <w:t xml:space="preserve"> to the </w:t>
      </w:r>
      <w:proofErr w:type="spellStart"/>
      <w:r>
        <w:rPr>
          <w:rStyle w:val="HTMLCode"/>
          <w:rFonts w:eastAsiaTheme="majorEastAsia"/>
        </w:rPr>
        <w:t>RewardDistributor</w:t>
      </w:r>
      <w:proofErr w:type="spellEnd"/>
      <w:r>
        <w:t xml:space="preserve"> contract (or a direct deposit), enabling the contract to pull and escrow funds atomically when opening each period. </w:t>
      </w:r>
      <w:proofErr w:type="spellStart"/>
      <w:r>
        <w:rPr>
          <w:rStyle w:val="HTMLCode"/>
          <w:rFonts w:eastAsiaTheme="majorEastAsia"/>
        </w:rPr>
        <w:t>DeyeRWA</w:t>
      </w:r>
      <w:r>
        <w:t>’s</w:t>
      </w:r>
      <w:proofErr w:type="spellEnd"/>
      <w:r>
        <w:t xml:space="preserve"> role is to anchor the underlying production commitment and to ensure that only compliant/authorized oracle updates are accepted; </w:t>
      </w:r>
      <w:proofErr w:type="spellStart"/>
      <w:r>
        <w:rPr>
          <w:rStyle w:val="HTMLCode"/>
          <w:rFonts w:eastAsiaTheme="majorEastAsia"/>
        </w:rPr>
        <w:t>RewardDistributor</w:t>
      </w:r>
      <w:r>
        <w:t>’s</w:t>
      </w:r>
      <w:proofErr w:type="spellEnd"/>
      <w:r>
        <w:t xml:space="preserve"> role is to enforce that payouts can only be claimed if they are (a) backed by escrowed USDC and (b) tied to a valid oracle-referenced entitlement root. This separation yields a clean security boundary: </w:t>
      </w:r>
      <w:proofErr w:type="spellStart"/>
      <w:r>
        <w:rPr>
          <w:rStyle w:val="HTMLCode"/>
          <w:rFonts w:eastAsiaTheme="majorEastAsia"/>
        </w:rPr>
        <w:t>DeyeRWA</w:t>
      </w:r>
      <w:proofErr w:type="spellEnd"/>
      <w:r>
        <w:t xml:space="preserve"> </w:t>
      </w:r>
      <w:r>
        <w:lastRenderedPageBreak/>
        <w:t xml:space="preserve">governs asset identity and oracle record integrity, while </w:t>
      </w:r>
      <w:proofErr w:type="spellStart"/>
      <w:r>
        <w:rPr>
          <w:rStyle w:val="HTMLCode"/>
          <w:rFonts w:eastAsiaTheme="majorEastAsia"/>
        </w:rPr>
        <w:t>RewardDistributor</w:t>
      </w:r>
      <w:proofErr w:type="spellEnd"/>
      <w:r>
        <w:t xml:space="preserve"> governs money custody and payout correctness at scale.</w:t>
      </w:r>
    </w:p>
    <w:p w14:paraId="6E610BAA" w14:textId="38DD39D5" w:rsidR="0076606E" w:rsidRDefault="00E84A39" w:rsidP="0076606E">
      <w:pPr>
        <w:pStyle w:val="Heading1"/>
      </w:pPr>
      <w:r>
        <w:t xml:space="preserve">Appendix B. Technical </w:t>
      </w:r>
      <w:r w:rsidR="0076606E">
        <w:t>Details of RWA Token Economics Design and Circulation</w:t>
      </w:r>
    </w:p>
    <w:p w14:paraId="36D5E37E" w14:textId="2BDD369D" w:rsidR="0076606E" w:rsidRDefault="00E84A39" w:rsidP="0076606E">
      <w:pPr>
        <w:pStyle w:val="Heading2"/>
      </w:pPr>
      <w:r>
        <w:t>B</w:t>
      </w:r>
      <w:r w:rsidR="0076606E">
        <w:t xml:space="preserve">.1. Step </w:t>
      </w:r>
      <w:r w:rsidR="0076606E">
        <w:rPr>
          <w:rFonts w:ascii="Cambria Math" w:hAnsi="Cambria Math" w:cs="Cambria Math"/>
        </w:rPr>
        <w:t>①</w:t>
      </w:r>
      <w:r w:rsidR="0076606E">
        <w:t xml:space="preserve"> Institutional staking into the RWA Vault and liquidity seeding of the </w:t>
      </w:r>
      <w:proofErr w:type="spellStart"/>
      <w:r w:rsidR="0076606E">
        <w:t>vRWA</w:t>
      </w:r>
      <w:proofErr w:type="spellEnd"/>
      <w:r w:rsidR="0076606E">
        <w:t>/USDC pool</w:t>
      </w:r>
    </w:p>
    <w:p w14:paraId="2D4B401A" w14:textId="6084F189" w:rsidR="0076606E" w:rsidRDefault="00E84A39" w:rsidP="0076606E">
      <w:pPr>
        <w:pStyle w:val="Heading3"/>
      </w:pPr>
      <w:r>
        <w:t>B</w:t>
      </w:r>
      <w:r w:rsidR="0076606E">
        <w:t>.1.1. RWA Vault contract: custody, share issuance, and reward capture</w:t>
      </w:r>
    </w:p>
    <w:p w14:paraId="612B808F" w14:textId="457587D7" w:rsidR="00C361AD" w:rsidRDefault="00C361AD" w:rsidP="00C361AD">
      <w:r>
        <w:t xml:space="preserve">The </w:t>
      </w:r>
      <w:r w:rsidRPr="00C361AD">
        <w:rPr>
          <w:rStyle w:val="Strong"/>
          <w:rFonts w:ascii="Courier New" w:hAnsi="Courier New" w:cs="Courier New"/>
          <w:b w:val="0"/>
          <w:bCs w:val="0"/>
          <w:sz w:val="20"/>
          <w:szCs w:val="20"/>
        </w:rPr>
        <w:t>RWA Vault</w:t>
      </w:r>
      <w:r>
        <w:t xml:space="preserve"> contract is the canonical on-chain custodian of staked native RWA positions. Its primary function is to accept deposits of the issued RWA token from institutional investors and to mint </w:t>
      </w:r>
      <w:proofErr w:type="spellStart"/>
      <w:r>
        <w:t>vRWA</w:t>
      </w:r>
      <w:proofErr w:type="spellEnd"/>
      <w:r>
        <w:t xml:space="preserve"> shares against those deposits under a deterministic accounting rule. Because the native RWA token in your system is not a simple ERC-20 but an inverter-linked instrument (ERC-3525 preferred per your document), the Vault deposit interface must be defined in terms of </w:t>
      </w:r>
      <w:r w:rsidRPr="00C361AD">
        <w:rPr>
          <w:rStyle w:val="Strong"/>
          <w:b w:val="0"/>
          <w:bCs w:val="0"/>
        </w:rPr>
        <w:t>token IDs and/or token “value” units</w:t>
      </w:r>
      <w:r>
        <w:t xml:space="preserve">, rather than “amounts” alone. Operationally, the deposit transaction transfers the relevant ERC-3525 positions from the institution to the Vault (making the Vault the on-chain holder for reward eligibility), records the deposited asset identifiers internally (so the Vault can later prove which underlying assets back outstanding shares), and mints </w:t>
      </w:r>
      <w:proofErr w:type="spellStart"/>
      <w:r>
        <w:t>vRWA</w:t>
      </w:r>
      <w:proofErr w:type="spellEnd"/>
      <w:r>
        <w:t xml:space="preserve"> to the depositor. For correctness and auditability, the Vault should maintain explicit mappings from deposited inverter token identifiers to Vault ownership state, and should enforce eligibility checks (e.g., only </w:t>
      </w:r>
      <w:r>
        <w:rPr>
          <w:rStyle w:val="HTMLCode"/>
          <w:rFonts w:eastAsiaTheme="minorEastAsia"/>
        </w:rPr>
        <w:t>ACTIVE</w:t>
      </w:r>
      <w:r>
        <w:t xml:space="preserve"> inverter tokens, not </w:t>
      </w:r>
      <w:r>
        <w:rPr>
          <w:rStyle w:val="HTMLCode"/>
          <w:rFonts w:eastAsiaTheme="minorEastAsia"/>
        </w:rPr>
        <w:t>PENDING</w:t>
      </w:r>
      <w:r>
        <w:t xml:space="preserve"> or </w:t>
      </w:r>
      <w:r>
        <w:rPr>
          <w:rStyle w:val="HTMLCode"/>
          <w:rFonts w:eastAsiaTheme="minorEastAsia"/>
        </w:rPr>
        <w:t>SUSPENDED</w:t>
      </w:r>
      <w:r>
        <w:t xml:space="preserve">, can be staked), so that </w:t>
      </w:r>
      <w:proofErr w:type="spellStart"/>
      <w:r>
        <w:t>vRWA</w:t>
      </w:r>
      <w:proofErr w:type="spellEnd"/>
      <w:r>
        <w:t xml:space="preserve"> is never minted against undeployed or disputed assets.</w:t>
      </w:r>
    </w:p>
    <w:p w14:paraId="796CCAC6" w14:textId="2B843257" w:rsidR="00C361AD" w:rsidRDefault="00C361AD" w:rsidP="00C361AD">
      <w:r>
        <w:t xml:space="preserve">        A key design decision is how </w:t>
      </w:r>
      <w:proofErr w:type="spellStart"/>
      <w:r>
        <w:t>vRWA</w:t>
      </w:r>
      <w:proofErr w:type="spellEnd"/>
      <w:r>
        <w:t xml:space="preserve"> shares are priced at mint time. The formal objective is to keep </w:t>
      </w:r>
      <w:proofErr w:type="spellStart"/>
      <w:r>
        <w:t>vRWA</w:t>
      </w:r>
      <w:proofErr w:type="spellEnd"/>
      <w:r>
        <w:t xml:space="preserve"> as a </w:t>
      </w:r>
      <w:r w:rsidRPr="00C361AD">
        <w:rPr>
          <w:rStyle w:val="Strong"/>
          <w:b w:val="0"/>
          <w:bCs w:val="0"/>
        </w:rPr>
        <w:t>share of the Vault’s net asset value (NAV)</w:t>
      </w:r>
      <w:r>
        <w:t xml:space="preserve">: when a depositor contributes an underlying RWA position, they should receive </w:t>
      </w:r>
      <w:proofErr w:type="spellStart"/>
      <w:r>
        <w:t>vRWA</w:t>
      </w:r>
      <w:proofErr w:type="spellEnd"/>
      <w:r>
        <w:t xml:space="preserve"> proportional to the incremental NAV they contribute. In a pilot, NAV can be conservatively defined as “principal reference value per inverter” plus “USDC already accumulated in the Vault,” with the principal reference value taken from the offering terms (or a periodic on-chain reference set by governance). Under this rule, the Vault defines a share price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t</m:t>
            </m:r>
          </m:sub>
        </m:sSub>
        <m:r>
          <w:rPr>
            <w:rStyle w:val="katex-mathml"/>
            <w:rFonts w:ascii="Cambria Math" w:hAnsi="Cambria Math"/>
          </w:rPr>
          <m:t>=NA</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t</m:t>
            </m:r>
          </m:sub>
        </m:sSub>
        <m:r>
          <m:rPr>
            <m:lit/>
          </m:rPr>
          <w:rPr>
            <w:rStyle w:val="katex-mathml"/>
            <w:rFonts w:ascii="Cambria Math" w:hAnsi="Cambria Math"/>
          </w:rPr>
          <m:t>/</m:t>
        </m:r>
        <m:r>
          <w:rPr>
            <w:rStyle w:val="katex-mathml"/>
            <w:rFonts w:ascii="Cambria Math" w:hAnsi="Cambria Math"/>
          </w:rPr>
          <m:t>Supply</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vRWA</m:t>
                </m:r>
              </m:e>
            </m:d>
          </m:e>
          <m:sub>
            <m:r>
              <w:rPr>
                <w:rStyle w:val="katex-mathml"/>
                <w:rFonts w:ascii="Cambria Math" w:hAnsi="Cambria Math"/>
              </w:rPr>
              <m:t>t</m:t>
            </m:r>
          </m:sub>
        </m:sSub>
      </m:oMath>
      <w:r>
        <w:t xml:space="preserve">, and mints </w:t>
      </w:r>
      <m:oMath>
        <m:r>
          <w:rPr>
            <w:rStyle w:val="katex-mathml"/>
            <w:rFonts w:ascii="Cambria Math" w:hAnsi="Cambria Math"/>
          </w:rPr>
          <m:t>ΔvRWA=ΔNAV</m:t>
        </m:r>
        <m:r>
          <m:rPr>
            <m:lit/>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t</m:t>
            </m:r>
          </m:sub>
        </m:sSub>
      </m:oMath>
      <w:r>
        <w:t>. This is the critical mechanism that makes vRWA economically meaningful and prevents dilution: early stakers cannot be unfairly diluted by later deposits if deposits are priced at the prevailing share price.</w:t>
      </w:r>
    </w:p>
    <w:p w14:paraId="2FB4C24C" w14:textId="6A25A210" w:rsidR="00C361AD" w:rsidRDefault="00C361AD" w:rsidP="00C361AD">
      <w:r>
        <w:lastRenderedPageBreak/>
        <w:t xml:space="preserve">        Once the Vault holds the native RWA positions, it should also be authorized to execute an </w:t>
      </w:r>
      <w:r w:rsidRPr="00C361AD">
        <w:rPr>
          <w:rStyle w:val="Strong"/>
          <w:b w:val="0"/>
          <w:bCs w:val="0"/>
        </w:rPr>
        <w:t>auto reward claim</w:t>
      </w:r>
      <w:r>
        <w:t xml:space="preserve"> against the existing </w:t>
      </w:r>
      <w:proofErr w:type="spellStart"/>
      <w:r w:rsidRPr="00C361AD">
        <w:rPr>
          <w:rFonts w:ascii="Courier New" w:hAnsi="Courier New" w:cs="Courier New"/>
          <w:sz w:val="20"/>
          <w:szCs w:val="20"/>
        </w:rPr>
        <w:t>RewardDistributor</w:t>
      </w:r>
      <w:proofErr w:type="spellEnd"/>
      <w:r>
        <w:t xml:space="preserve"> workflow (as indicated by the “Auto reward claim” arrow in your chart). Concretely, the Vault becomes the claimant/beneficiary for daily USDC rewards associated with the staked RWA positions, and periodically calls the </w:t>
      </w:r>
      <w:proofErr w:type="spellStart"/>
      <w:r w:rsidRPr="00C361AD">
        <w:rPr>
          <w:rFonts w:ascii="Courier New" w:hAnsi="Courier New" w:cs="Courier New"/>
          <w:sz w:val="20"/>
          <w:szCs w:val="20"/>
        </w:rPr>
        <w:t>RewardDistributor</w:t>
      </w:r>
      <w:proofErr w:type="spellEnd"/>
      <w:r>
        <w:t xml:space="preserve"> claim interface (either directly, or through a small “harvester” module) so that USDC is transferred into the Vault. Crucially, the Vault does </w:t>
      </w:r>
      <w:r w:rsidRPr="00E84A39">
        <w:rPr>
          <w:rStyle w:val="Strong"/>
          <w:b w:val="0"/>
          <w:bCs w:val="0"/>
        </w:rPr>
        <w:t>not</w:t>
      </w:r>
      <w:r w:rsidRPr="00E84A39">
        <w:rPr>
          <w:b/>
          <w:bCs/>
        </w:rPr>
        <w:t xml:space="preserve"> </w:t>
      </w:r>
      <w:r>
        <w:t xml:space="preserve">pay USDC out to </w:t>
      </w:r>
      <w:proofErr w:type="spellStart"/>
      <w:r>
        <w:t>vRWA</w:t>
      </w:r>
      <w:proofErr w:type="spellEnd"/>
      <w:r>
        <w:t xml:space="preserve"> holders in this step; instead, it retains the USDC as Vault assets. This retention is what causes </w:t>
      </w:r>
      <w:proofErr w:type="spellStart"/>
      <w:r>
        <w:t>vRWA</w:t>
      </w:r>
      <w:proofErr w:type="spellEnd"/>
      <w:r>
        <w:t xml:space="preserve"> to appreciate: as USDC accumulates, Vault NAV increases while </w:t>
      </w:r>
      <w:proofErr w:type="spellStart"/>
      <w:r>
        <w:t>vRWA</w:t>
      </w:r>
      <w:proofErr w:type="spellEnd"/>
      <w:r>
        <w:t xml:space="preserve"> supply remains unchanged, raising NAV per share. The Vault may also enforce a fee policy (management fee, O&amp;M reserve, insurance reserve) by skimming a small portion of harvested rewards into a fee address or reserve bucket; for report clarity, this should be defined as a deterministic percentage and disclosed as part of token economics.</w:t>
      </w:r>
    </w:p>
    <w:p w14:paraId="267791B9" w14:textId="2404474A" w:rsidR="00E84A39" w:rsidRDefault="00E84A39" w:rsidP="00C361AD">
      <w:r>
        <w:t xml:space="preserve">        Finally, the Vault must define redemption semantics for </w:t>
      </w:r>
      <w:proofErr w:type="spellStart"/>
      <w:r>
        <w:t>vRWA</w:t>
      </w:r>
      <w:proofErr w:type="spellEnd"/>
      <w:r>
        <w:t xml:space="preserve"> holders, even if redemption is not the primary liquidity path. For a market-making design, redemption logic provides the economic anchor that keeps </w:t>
      </w:r>
      <w:proofErr w:type="spellStart"/>
      <w:r>
        <w:t>vRWA</w:t>
      </w:r>
      <w:proofErr w:type="spellEnd"/>
      <w:r>
        <w:t xml:space="preserve"> price linked to its underlying NAV. The cleanest and most operationally realistic redemption primitive is </w:t>
      </w:r>
      <w:r w:rsidRPr="00E84A39">
        <w:rPr>
          <w:rStyle w:val="Strong"/>
          <w:b w:val="0"/>
          <w:bCs w:val="0"/>
        </w:rPr>
        <w:t>USDC-based redemption</w:t>
      </w:r>
      <w:r>
        <w:t xml:space="preserve"> (burn </w:t>
      </w:r>
      <w:proofErr w:type="spellStart"/>
      <w:r>
        <w:t>vRWA</w:t>
      </w:r>
      <w:proofErr w:type="spellEnd"/>
      <w:r>
        <w:t xml:space="preserve"> for USDC subject to liquidity buffers or queue-based settlement) rather than “returning inverter token IDs,” which is difficult for retail and fragments the underlying. Even if you expect most users to exit via the AMM, specifying a redemption mechanism (even with delays) makes the system economically coherent and improves market pricing.</w:t>
      </w:r>
    </w:p>
    <w:p w14:paraId="1BCE5104" w14:textId="4177D577" w:rsidR="00E84A39" w:rsidRDefault="00E84A39" w:rsidP="00E84A39">
      <w:pPr>
        <w:pStyle w:val="Heading3"/>
      </w:pPr>
      <w:r>
        <w:t xml:space="preserve">B.1.2. </w:t>
      </w:r>
      <w:proofErr w:type="spellStart"/>
      <w:r>
        <w:t>vRWA</w:t>
      </w:r>
      <w:proofErr w:type="spellEnd"/>
      <w:r>
        <w:t>/USDC AMM pool: market access, price discovery, and liquidity provisioning</w:t>
      </w:r>
    </w:p>
    <w:p w14:paraId="439578B2" w14:textId="0D2550AF" w:rsidR="00E84A39" w:rsidRDefault="00E84A39" w:rsidP="00E84A39">
      <w:r>
        <w:t xml:space="preserve">The </w:t>
      </w:r>
      <w:proofErr w:type="spellStart"/>
      <w:r>
        <w:rPr>
          <w:rStyle w:val="Strong"/>
        </w:rPr>
        <w:t>vRWA</w:t>
      </w:r>
      <w:proofErr w:type="spellEnd"/>
      <w:r>
        <w:rPr>
          <w:rStyle w:val="Strong"/>
        </w:rPr>
        <w:t>/USDC pool</w:t>
      </w:r>
      <w:r>
        <w:t xml:space="preserve"> is the primary market-making venue that converts the Vault share token into a retail-tradable instrument. Its function is to offer continuous exchange between USDC and </w:t>
      </w:r>
      <w:proofErr w:type="spellStart"/>
      <w:r>
        <w:t>vRWA</w:t>
      </w:r>
      <w:proofErr w:type="spellEnd"/>
      <w:r>
        <w:t xml:space="preserve">: retail investors buy </w:t>
      </w:r>
      <w:proofErr w:type="spellStart"/>
      <w:r>
        <w:t>vRWA</w:t>
      </w:r>
      <w:proofErr w:type="spellEnd"/>
      <w:r>
        <w:t xml:space="preserve"> for USDC when seeking exposure to the yield-bearing RWA portfolio, and sell </w:t>
      </w:r>
      <w:proofErr w:type="spellStart"/>
      <w:r>
        <w:t>vRWA</w:t>
      </w:r>
      <w:proofErr w:type="spellEnd"/>
      <w:r>
        <w:t xml:space="preserve"> for USDC to exit without interacting with ERC-3525 tokens or reward claiming. This pool should be implemented as a standard AMM pair (e.g., Uniswap V3-style concentrated liquidity or a simpler constant-product AMM), with pool parameters chosen to reflect expected volatility and liquidity depth. For a pilot, a simpler constant-product pool can be sufficient; as volume grows, concentrated liquidity improves capital efficiency but increases operational complexity for liquidity managers.</w:t>
      </w:r>
    </w:p>
    <w:p w14:paraId="4C1EF006" w14:textId="51C89EC8" w:rsidR="00E84A39" w:rsidRDefault="00E84A39" w:rsidP="00E84A39">
      <w:r>
        <w:lastRenderedPageBreak/>
        <w:t xml:space="preserve">        Liquidity seeding is an explicit component of Step </w:t>
      </w:r>
      <w:r>
        <w:rPr>
          <w:rFonts w:ascii="Cambria Math" w:hAnsi="Cambria Math" w:cs="Cambria Math"/>
        </w:rPr>
        <w:t>①</w:t>
      </w:r>
      <w:r>
        <w:t xml:space="preserve">. Initial liquidity should typically be </w:t>
      </w:r>
      <w:r w:rsidRPr="00E84A39">
        <w:rPr>
          <w:rStyle w:val="Strong"/>
          <w:b w:val="0"/>
          <w:bCs w:val="0"/>
        </w:rPr>
        <w:t>protocol-owned liquidity (POL)</w:t>
      </w:r>
      <w:r>
        <w:t xml:space="preserve"> or institution-provided liquidity under a defined program. Practically, this requires both sides of the pair: the Vault (or treasury) must supply </w:t>
      </w:r>
      <w:proofErr w:type="spellStart"/>
      <w:r>
        <w:t>vRWA</w:t>
      </w:r>
      <w:proofErr w:type="spellEnd"/>
      <w:r>
        <w:t>, and a treasury or designated liquidity provider must supply USDC. “Fee” from Vault to Pool can represent either (a) explicit incentives allocated to deepen liquidity, or (b) trading fees earned by LP positions that are owned/managed by the protocol. It is important to note that the AMM is not describing yield generation by itself; rather, it is an exchange venue whose price should track the Vault’s NAV-per-share, with deviations corrected through arbitrage and/or managed rebalancing.</w:t>
      </w:r>
    </w:p>
    <w:p w14:paraId="4E55EEB6" w14:textId="27480C8C" w:rsidR="00E84A39" w:rsidRDefault="00E84A39" w:rsidP="00E84A39">
      <w:r>
        <w:t xml:space="preserve">        Th</w:t>
      </w:r>
      <w:r w:rsidR="001F298A">
        <w:t>e</w:t>
      </w:r>
      <w:r>
        <w:t xml:space="preserve"> mint/redeem boundary is what prevents the AMM price from drifting without discipline, and therefore the Vault and pool must be designed consistently: if redemption is entirely impossible, </w:t>
      </w:r>
      <w:proofErr w:type="spellStart"/>
      <w:r>
        <w:t>vRWA</w:t>
      </w:r>
      <w:proofErr w:type="spellEnd"/>
      <w:r>
        <w:t xml:space="preserve"> becomes a pure “sentiment token” and the AMM price may decouple from fundamentals, which is undesirable for an RWA product.</w:t>
      </w:r>
    </w:p>
    <w:p w14:paraId="25C41903" w14:textId="10F11907" w:rsidR="00E84A39" w:rsidRDefault="00E84A39" w:rsidP="00E84A39">
      <w:r>
        <w:t xml:space="preserve">        A final design constraint is compliance alignment. If the underlying RWA exposure is KYC-gated (which is likely under your Singapore deployment), then the system must avoid inadvertently creating an unrestricted wrapper that circumvents transfer restrictions. In practice this means either: (a) </w:t>
      </w:r>
      <w:proofErr w:type="spellStart"/>
      <w:r>
        <w:t>vRWA</w:t>
      </w:r>
      <w:proofErr w:type="spellEnd"/>
      <w:r>
        <w:t xml:space="preserve"> itself is also transfer-restricted and the AMM pool is only accessible to whitelisted addresses, or (b) the wrapper and trading venue operate in a permissioned environment. This requirement affects the pool’s address eligibility, liquidity provider whitelisting, and the user onboarding flow for retail participants; it should be stated explicitly because it materially shapes market-making feasibility and liquidity depth.</w:t>
      </w:r>
    </w:p>
    <w:p w14:paraId="270500FC" w14:textId="231D853D" w:rsidR="00E84A39" w:rsidRDefault="001F298A" w:rsidP="001F298A">
      <w:pPr>
        <w:pStyle w:val="Heading2"/>
      </w:pPr>
      <w:r>
        <w:t xml:space="preserve">B.2. Step </w:t>
      </w:r>
      <w:r>
        <w:rPr>
          <w:rFonts w:ascii="Cambria Math" w:hAnsi="Cambria Math" w:cs="Cambria Math"/>
        </w:rPr>
        <w:t>②</w:t>
      </w:r>
      <w:r>
        <w:t xml:space="preserve"> Vault reward capture and “NAV → price” anchoring via arbitrage</w:t>
      </w:r>
    </w:p>
    <w:p w14:paraId="0CD4B486" w14:textId="5F758527" w:rsidR="001F298A" w:rsidRDefault="001F298A" w:rsidP="001F298A">
      <w:r>
        <w:t xml:space="preserve">Once the Vault holds the underlying ERC-3525 RWA positions, it is the party that is eligible to claim daily USDC rewards (either by calling the </w:t>
      </w:r>
      <w:proofErr w:type="spellStart"/>
      <w:r w:rsidRPr="00EF0A6F">
        <w:rPr>
          <w:rFonts w:ascii="Courier New" w:hAnsi="Courier New" w:cs="Courier New"/>
          <w:sz w:val="20"/>
          <w:szCs w:val="20"/>
        </w:rPr>
        <w:t>RewardDistributor</w:t>
      </w:r>
      <w:proofErr w:type="spellEnd"/>
      <w:r>
        <w:t xml:space="preserve"> directly or via an automated harvester). The Vault retains claimed USDC on its balance (net of predefined management/O&amp;M reserves), so the vault’s net asset value increases over time. Because </w:t>
      </w:r>
      <w:proofErr w:type="spellStart"/>
      <w:r>
        <w:t>vRWA</w:t>
      </w:r>
      <w:proofErr w:type="spellEnd"/>
      <w:r>
        <w:t xml:space="preserve"> represents a pro-rata claim on vault assets, the </w:t>
      </w:r>
      <w:r w:rsidRPr="00EF0A6F">
        <w:rPr>
          <w:rStyle w:val="Strong"/>
          <w:b w:val="0"/>
          <w:bCs w:val="0"/>
        </w:rPr>
        <w:t xml:space="preserve">fundamental value of </w:t>
      </w:r>
      <w:proofErr w:type="spellStart"/>
      <w:r w:rsidRPr="00EF0A6F">
        <w:rPr>
          <w:rStyle w:val="Strong"/>
          <w:b w:val="0"/>
          <w:bCs w:val="0"/>
        </w:rPr>
        <w:t>vRWA</w:t>
      </w:r>
      <w:proofErr w:type="spellEnd"/>
      <w:r>
        <w:t xml:space="preserve"> is the </w:t>
      </w:r>
      <w:r w:rsidRPr="00EF0A6F">
        <w:rPr>
          <w:rStyle w:val="Strong"/>
          <w:b w:val="0"/>
          <w:bCs w:val="0"/>
        </w:rPr>
        <w:t>NAV per share</w:t>
      </w:r>
      <w:r>
        <w:t xml:space="preserve">: as rewards accumulate, NAV rises while </w:t>
      </w:r>
      <w:proofErr w:type="spellStart"/>
      <w:r>
        <w:t>vRWA</w:t>
      </w:r>
      <w:proofErr w:type="spellEnd"/>
      <w:r>
        <w:t xml:space="preserve"> supply is unchanged, implying an increasing NAV/share (i.e., “yield by appreciation,” not by manual claiming for retail).</w:t>
      </w:r>
    </w:p>
    <w:p w14:paraId="74B7D3FD" w14:textId="712F7A29" w:rsidR="00EF0A6F" w:rsidRDefault="00EF0A6F" w:rsidP="001F298A">
      <w:r>
        <w:t xml:space="preserve">        The AMM price of </w:t>
      </w:r>
      <w:proofErr w:type="spellStart"/>
      <w:r>
        <w:t>vRWA</w:t>
      </w:r>
      <w:proofErr w:type="spellEnd"/>
      <w:r>
        <w:t xml:space="preserve"> will fluctuate with liquidity and order flow. To keep the traded price aligned with NAV/share, the system should expose at least one economically meaningful </w:t>
      </w:r>
      <w:r>
        <w:lastRenderedPageBreak/>
        <w:t xml:space="preserve">“conversion boundary” between </w:t>
      </w:r>
      <w:proofErr w:type="spellStart"/>
      <w:r>
        <w:t>vRWA</w:t>
      </w:r>
      <w:proofErr w:type="spellEnd"/>
      <w:r>
        <w:t xml:space="preserve"> and vault value. The cleanest mechanism is a </w:t>
      </w:r>
      <w:r w:rsidRPr="00EF0A6F">
        <w:rPr>
          <w:rStyle w:val="Strong"/>
          <w:b w:val="0"/>
          <w:bCs w:val="0"/>
        </w:rPr>
        <w:t>mint/redeem channel</w:t>
      </w:r>
      <w:r>
        <w:t xml:space="preserve"> (even if redemption is queued rather than instant):</w:t>
      </w:r>
    </w:p>
    <w:p w14:paraId="382F7F06" w14:textId="3DF3631A" w:rsidR="00EF0A6F" w:rsidRPr="00EF0A6F" w:rsidRDefault="00EF0A6F" w:rsidP="00EF0A6F">
      <w:pPr>
        <w:pStyle w:val="ListParagraph"/>
        <w:numPr>
          <w:ilvl w:val="0"/>
          <w:numId w:val="12"/>
        </w:numPr>
        <w:rPr>
          <w:lang w:val="en-US"/>
        </w:rPr>
      </w:pPr>
      <w:r>
        <w:t xml:space="preserve">If </w:t>
      </w:r>
      <w:proofErr w:type="spellStart"/>
      <w:r w:rsidRPr="00EF0A6F">
        <w:rPr>
          <w:rStyle w:val="Strong"/>
          <w:b w:val="0"/>
          <w:bCs w:val="0"/>
        </w:rPr>
        <w:t>vRWA</w:t>
      </w:r>
      <w:proofErr w:type="spellEnd"/>
      <w:r w:rsidRPr="00EF0A6F">
        <w:rPr>
          <w:rStyle w:val="Strong"/>
          <w:b w:val="0"/>
          <w:bCs w:val="0"/>
        </w:rPr>
        <w:t xml:space="preserve"> trades below NAV</w:t>
      </w:r>
      <w:r>
        <w:t xml:space="preserve"> (discount), arbitragers buy </w:t>
      </w:r>
      <w:proofErr w:type="spellStart"/>
      <w:r>
        <w:t>vRWA</w:t>
      </w:r>
      <w:proofErr w:type="spellEnd"/>
      <w:r>
        <w:t xml:space="preserve"> cheaply in the AMM and redeem with the Vault for USDC at (or near) NAV/share, profiting from the spread and pushing the AMM price upward.</w:t>
      </w:r>
    </w:p>
    <w:p w14:paraId="25A28662" w14:textId="51FDBE79" w:rsidR="00EF0A6F" w:rsidRPr="00EF0A6F" w:rsidRDefault="00EF0A6F" w:rsidP="00EF0A6F">
      <w:pPr>
        <w:pStyle w:val="ListParagraph"/>
        <w:numPr>
          <w:ilvl w:val="0"/>
          <w:numId w:val="12"/>
        </w:numPr>
        <w:rPr>
          <w:lang w:val="en-US"/>
        </w:rPr>
      </w:pPr>
      <w:r w:rsidRPr="00EF0A6F">
        <w:t xml:space="preserve">If </w:t>
      </w:r>
      <w:proofErr w:type="spellStart"/>
      <w:r w:rsidRPr="00EF0A6F">
        <w:rPr>
          <w:rStyle w:val="Strong"/>
          <w:b w:val="0"/>
          <w:bCs w:val="0"/>
        </w:rPr>
        <w:t>vRWA</w:t>
      </w:r>
      <w:proofErr w:type="spellEnd"/>
      <w:r w:rsidRPr="00EF0A6F">
        <w:rPr>
          <w:rStyle w:val="Strong"/>
          <w:b w:val="0"/>
          <w:bCs w:val="0"/>
        </w:rPr>
        <w:t xml:space="preserve"> trades above NAV</w:t>
      </w:r>
      <w:r>
        <w:t xml:space="preserve"> (premium), sophisticated participants create </w:t>
      </w:r>
      <w:proofErr w:type="spellStart"/>
      <w:r>
        <w:t>vRWA</w:t>
      </w:r>
      <w:proofErr w:type="spellEnd"/>
      <w:r>
        <w:t xml:space="preserve"> at the Vault’s current share price (by depositing eligible ERC-3525 RWAs, or by injecting USDC if you allow USDC-based minting) and sell </w:t>
      </w:r>
      <w:proofErr w:type="spellStart"/>
      <w:r>
        <w:t>vRWA</w:t>
      </w:r>
      <w:proofErr w:type="spellEnd"/>
      <w:r>
        <w:t xml:space="preserve"> into the AMM, increasing supply and compressing the premium.</w:t>
      </w:r>
    </w:p>
    <w:p w14:paraId="0DCA5FF1" w14:textId="1E9B1B4D" w:rsidR="00EF0A6F" w:rsidRDefault="00EF0A6F" w:rsidP="00EF0A6F">
      <w:r>
        <w:t xml:space="preserve">In implementation, the Vault does not need to “actively manage price”; it needs to provide </w:t>
      </w:r>
      <w:r w:rsidRPr="00EF0A6F">
        <w:rPr>
          <w:rStyle w:val="Strong"/>
          <w:b w:val="0"/>
          <w:bCs w:val="0"/>
        </w:rPr>
        <w:t>transparent NAV accounting</w:t>
      </w:r>
      <w:r>
        <w:t xml:space="preserve"> and </w:t>
      </w:r>
      <w:r w:rsidRPr="00EF0A6F">
        <w:rPr>
          <w:rStyle w:val="Strong"/>
          <w:b w:val="0"/>
          <w:bCs w:val="0"/>
        </w:rPr>
        <w:t>well-defined mint/redeem rules</w:t>
      </w:r>
      <w:r>
        <w:t xml:space="preserve"> that make arbitrage feasible. The principal design choice is </w:t>
      </w:r>
      <w:r w:rsidRPr="00EF0A6F">
        <w:rPr>
          <w:rStyle w:val="Strong"/>
          <w:b w:val="0"/>
          <w:bCs w:val="0"/>
        </w:rPr>
        <w:t>redemption design</w:t>
      </w:r>
      <w:r>
        <w:t>: (a) instant USDC redemption (requires a large USDC buffer), or (b) queued redemption (more realistic for RWA-backed principal). Queued redemption still supports price discipline, but the anchoring is weaker and discounts can persist during stress; this should be disclosed as a liquidity/risk feature rather than a bug.</w:t>
      </w:r>
    </w:p>
    <w:p w14:paraId="3C623BC8" w14:textId="072E5B9B" w:rsidR="00EF0A6F" w:rsidRDefault="00EF0A6F" w:rsidP="00EF0A6F">
      <w:pPr>
        <w:pStyle w:val="Heading2"/>
      </w:pPr>
      <w:r>
        <w:t xml:space="preserve">B.3. Step </w:t>
      </w:r>
      <w:r>
        <w:rPr>
          <w:rFonts w:ascii="Cambria Math" w:hAnsi="Cambria Math" w:cs="Cambria Math"/>
        </w:rPr>
        <w:t>③</w:t>
      </w:r>
      <w:r>
        <w:t xml:space="preserve"> Retail trading through the </w:t>
      </w:r>
      <w:proofErr w:type="spellStart"/>
      <w:r>
        <w:t>vRWA</w:t>
      </w:r>
      <w:proofErr w:type="spellEnd"/>
      <w:r>
        <w:t xml:space="preserve">/USDC pool and fee recycling to </w:t>
      </w:r>
      <w:proofErr w:type="spellStart"/>
      <w:r>
        <w:t>stakers</w:t>
      </w:r>
      <w:proofErr w:type="spellEnd"/>
    </w:p>
    <w:p w14:paraId="57B6E881" w14:textId="4FFE83F7" w:rsidR="00EF0A6F" w:rsidRDefault="00EF0A6F" w:rsidP="00EF0A6F">
      <w:r>
        <w:t xml:space="preserve">Retail users interact primarily with the </w:t>
      </w:r>
      <w:proofErr w:type="spellStart"/>
      <w:r>
        <w:rPr>
          <w:rStyle w:val="Strong"/>
        </w:rPr>
        <w:t>vRWA</w:t>
      </w:r>
      <w:proofErr w:type="spellEnd"/>
      <w:r>
        <w:rPr>
          <w:rStyle w:val="Strong"/>
        </w:rPr>
        <w:t>/USDC AMM pool</w:t>
      </w:r>
      <w:r>
        <w:t xml:space="preserve">, purchasing </w:t>
      </w:r>
      <w:proofErr w:type="spellStart"/>
      <w:r>
        <w:t>vRWA</w:t>
      </w:r>
      <w:proofErr w:type="spellEnd"/>
      <w:r>
        <w:t xml:space="preserve"> using USDC and selling </w:t>
      </w:r>
      <w:proofErr w:type="spellStart"/>
      <w:r>
        <w:t>vRWA</w:t>
      </w:r>
      <w:proofErr w:type="spellEnd"/>
      <w:r>
        <w:t xml:space="preserve"> back to USDC to exit. This creates continuous market access without requiring retail users to hold or understand heterogeneous ERC-3525 </w:t>
      </w:r>
      <w:proofErr w:type="spellStart"/>
      <w:r>
        <w:t>tokenIds</w:t>
      </w:r>
      <w:proofErr w:type="spellEnd"/>
      <w:r>
        <w:t xml:space="preserve"> or to participate in reward claims. AMM swaps generate trading fees (in </w:t>
      </w:r>
      <w:proofErr w:type="spellStart"/>
      <w:r>
        <w:t>vRWA</w:t>
      </w:r>
      <w:proofErr w:type="spellEnd"/>
      <w:r>
        <w:t xml:space="preserve"> and/or USDC depending on the AMM design), which become a meaningful source of secondary yield if liquidity and volume are sufficient.</w:t>
      </w:r>
    </w:p>
    <w:p w14:paraId="0C0F2B60" w14:textId="3DDF0E81" w:rsidR="00EF0A6F" w:rsidRPr="00EF0A6F" w:rsidRDefault="00EF0A6F" w:rsidP="00EF0A6F">
      <w:r>
        <w:tab/>
        <w:t xml:space="preserve">The LP position is owned by the protocol/Vault (POL), so trading fees accrue to the Vault and are retained. This increases NAV and therefore benefits </w:t>
      </w:r>
      <w:r w:rsidRPr="00EF0A6F">
        <w:rPr>
          <w:rStyle w:val="Strong"/>
          <w:b w:val="0"/>
          <w:bCs w:val="0"/>
        </w:rPr>
        <w:t xml:space="preserve">all </w:t>
      </w:r>
      <w:proofErr w:type="spellStart"/>
      <w:r w:rsidRPr="00EF0A6F">
        <w:rPr>
          <w:rStyle w:val="Strong"/>
          <w:b w:val="0"/>
          <w:bCs w:val="0"/>
        </w:rPr>
        <w:t>vRWA</w:t>
      </w:r>
      <w:proofErr w:type="spellEnd"/>
      <w:r w:rsidRPr="00EF0A6F">
        <w:rPr>
          <w:rStyle w:val="Strong"/>
          <w:b w:val="0"/>
          <w:bCs w:val="0"/>
        </w:rPr>
        <w:t xml:space="preserve"> holders</w:t>
      </w:r>
      <w:r>
        <w:t xml:space="preserve"> automatically through price appreciation.</w:t>
      </w:r>
    </w:p>
    <w:sectPr w:rsidR="00EF0A6F" w:rsidRPr="00EF0A6F">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719EB" w14:textId="77777777" w:rsidR="0003713D" w:rsidRDefault="0003713D" w:rsidP="00A739CC">
      <w:r>
        <w:separator/>
      </w:r>
    </w:p>
  </w:endnote>
  <w:endnote w:type="continuationSeparator" w:id="0">
    <w:p w14:paraId="5DCC5A01" w14:textId="77777777" w:rsidR="0003713D" w:rsidRDefault="0003713D" w:rsidP="00A73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1823858"/>
      <w:docPartObj>
        <w:docPartGallery w:val="Page Numbers (Bottom of Page)"/>
        <w:docPartUnique/>
      </w:docPartObj>
    </w:sdtPr>
    <w:sdtContent>
      <w:p w14:paraId="3584D5A8" w14:textId="1F128050" w:rsidR="00056C76" w:rsidRDefault="00056C76" w:rsidP="00F91E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1AA6FB" w14:textId="77777777" w:rsidR="00056C76" w:rsidRDefault="00056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746644"/>
      <w:docPartObj>
        <w:docPartGallery w:val="Page Numbers (Bottom of Page)"/>
        <w:docPartUnique/>
      </w:docPartObj>
    </w:sdtPr>
    <w:sdtContent>
      <w:p w14:paraId="473925D4" w14:textId="6C4E3728" w:rsidR="00056C76" w:rsidRDefault="00056C76" w:rsidP="00F91E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FBC81F" w14:textId="77777777" w:rsidR="00056C76" w:rsidRDefault="00056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8CD8" w14:textId="77777777" w:rsidR="0003713D" w:rsidRDefault="0003713D" w:rsidP="00A739CC">
      <w:r>
        <w:separator/>
      </w:r>
    </w:p>
  </w:footnote>
  <w:footnote w:type="continuationSeparator" w:id="0">
    <w:p w14:paraId="6FEAE927" w14:textId="77777777" w:rsidR="0003713D" w:rsidRDefault="0003713D" w:rsidP="00A739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A3E41"/>
    <w:multiLevelType w:val="hybridMultilevel"/>
    <w:tmpl w:val="AFA28C3E"/>
    <w:lvl w:ilvl="0" w:tplc="F07698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E554AF"/>
    <w:multiLevelType w:val="hybridMultilevel"/>
    <w:tmpl w:val="2CBA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75925"/>
    <w:multiLevelType w:val="hybridMultilevel"/>
    <w:tmpl w:val="4C54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F1A26"/>
    <w:multiLevelType w:val="hybridMultilevel"/>
    <w:tmpl w:val="A3C2CA06"/>
    <w:lvl w:ilvl="0" w:tplc="43BAA92C">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C241D8"/>
    <w:multiLevelType w:val="hybridMultilevel"/>
    <w:tmpl w:val="A0D0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61CE5"/>
    <w:multiLevelType w:val="hybridMultilevel"/>
    <w:tmpl w:val="457C1B44"/>
    <w:lvl w:ilvl="0" w:tplc="6EB22968">
      <w:start w:val="1"/>
      <w:numFmt w:val="bullet"/>
      <w:lvlText w:val=""/>
      <w:lvlJc w:val="left"/>
      <w:pPr>
        <w:ind w:left="0" w:firstLine="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EF0513"/>
    <w:multiLevelType w:val="hybridMultilevel"/>
    <w:tmpl w:val="BCCECD8A"/>
    <w:lvl w:ilvl="0" w:tplc="96F6BF22">
      <w:start w:val="1"/>
      <w:numFmt w:val="bullet"/>
      <w:lvlText w:val=""/>
      <w:lvlJc w:val="left"/>
      <w:pPr>
        <w:ind w:left="113" w:hanging="56"/>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1A63A6"/>
    <w:multiLevelType w:val="hybridMultilevel"/>
    <w:tmpl w:val="156AF0C8"/>
    <w:lvl w:ilvl="0" w:tplc="F9E45012">
      <w:start w:val="1"/>
      <w:numFmt w:val="bullet"/>
      <w:lvlText w:val=""/>
      <w:lvlJc w:val="left"/>
      <w:pPr>
        <w:ind w:left="0" w:firstLine="57"/>
      </w:pPr>
      <w:rPr>
        <w:rFonts w:ascii="Symbol" w:eastAsiaTheme="minorEastAsia" w:hAnsi="Symbol" w:cstheme="minorBidi" w:hint="default"/>
      </w:rPr>
    </w:lvl>
    <w:lvl w:ilvl="1" w:tplc="08090003" w:tentative="1">
      <w:start w:val="1"/>
      <w:numFmt w:val="bullet"/>
      <w:lvlText w:val="o"/>
      <w:lvlJc w:val="left"/>
      <w:pPr>
        <w:ind w:left="1497" w:hanging="360"/>
      </w:pPr>
      <w:rPr>
        <w:rFonts w:ascii="Courier New" w:hAnsi="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9" w15:restartNumberingAfterBreak="0">
    <w:nsid w:val="62B87BC7"/>
    <w:multiLevelType w:val="hybridMultilevel"/>
    <w:tmpl w:val="B168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464F00"/>
    <w:multiLevelType w:val="hybridMultilevel"/>
    <w:tmpl w:val="B9D6F816"/>
    <w:lvl w:ilvl="0" w:tplc="6374C5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0A3428"/>
    <w:multiLevelType w:val="hybridMultilevel"/>
    <w:tmpl w:val="BFA485D0"/>
    <w:lvl w:ilvl="0" w:tplc="35AA2F9C">
      <w:start w:val="1"/>
      <w:numFmt w:val="bullet"/>
      <w:lvlText w:val=""/>
      <w:lvlJc w:val="left"/>
      <w:pPr>
        <w:ind w:left="720" w:hanging="663"/>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4A03B1"/>
    <w:multiLevelType w:val="hybridMultilevel"/>
    <w:tmpl w:val="9FFAC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2C281F"/>
    <w:multiLevelType w:val="hybridMultilevel"/>
    <w:tmpl w:val="B04A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1961E6"/>
    <w:multiLevelType w:val="hybridMultilevel"/>
    <w:tmpl w:val="1E54D06E"/>
    <w:lvl w:ilvl="0" w:tplc="BF1ACD62">
      <w:start w:val="1"/>
      <w:numFmt w:val="bullet"/>
      <w:lvlText w:val=""/>
      <w:lvlJc w:val="left"/>
      <w:pPr>
        <w:ind w:left="57" w:firstLine="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5305090">
    <w:abstractNumId w:val="1"/>
  </w:num>
  <w:num w:numId="2" w16cid:durableId="1208493095">
    <w:abstractNumId w:val="10"/>
  </w:num>
  <w:num w:numId="3" w16cid:durableId="167062740">
    <w:abstractNumId w:val="12"/>
  </w:num>
  <w:num w:numId="4" w16cid:durableId="317881166">
    <w:abstractNumId w:val="4"/>
  </w:num>
  <w:num w:numId="5" w16cid:durableId="894698768">
    <w:abstractNumId w:val="11"/>
  </w:num>
  <w:num w:numId="6" w16cid:durableId="367460856">
    <w:abstractNumId w:val="7"/>
  </w:num>
  <w:num w:numId="7" w16cid:durableId="959263133">
    <w:abstractNumId w:val="14"/>
  </w:num>
  <w:num w:numId="8" w16cid:durableId="268435830">
    <w:abstractNumId w:val="8"/>
  </w:num>
  <w:num w:numId="9" w16cid:durableId="2000840008">
    <w:abstractNumId w:val="6"/>
  </w:num>
  <w:num w:numId="10" w16cid:durableId="1688678467">
    <w:abstractNumId w:val="0"/>
  </w:num>
  <w:num w:numId="11" w16cid:durableId="677074725">
    <w:abstractNumId w:val="13"/>
  </w:num>
  <w:num w:numId="12" w16cid:durableId="128524396">
    <w:abstractNumId w:val="2"/>
  </w:num>
  <w:num w:numId="13" w16cid:durableId="2101676156">
    <w:abstractNumId w:val="5"/>
  </w:num>
  <w:num w:numId="14" w16cid:durableId="406998144">
    <w:abstractNumId w:val="3"/>
  </w:num>
  <w:num w:numId="15" w16cid:durableId="1364209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73"/>
    <w:rsid w:val="000057CB"/>
    <w:rsid w:val="00026D1A"/>
    <w:rsid w:val="00032513"/>
    <w:rsid w:val="0003703E"/>
    <w:rsid w:val="0003713D"/>
    <w:rsid w:val="00045038"/>
    <w:rsid w:val="00056C76"/>
    <w:rsid w:val="00064AE8"/>
    <w:rsid w:val="000778C3"/>
    <w:rsid w:val="0008170F"/>
    <w:rsid w:val="0009691E"/>
    <w:rsid w:val="000A1E23"/>
    <w:rsid w:val="000C562B"/>
    <w:rsid w:val="000E1C1A"/>
    <w:rsid w:val="00122F92"/>
    <w:rsid w:val="001317A3"/>
    <w:rsid w:val="00163126"/>
    <w:rsid w:val="001A26B7"/>
    <w:rsid w:val="001B2678"/>
    <w:rsid w:val="001B289A"/>
    <w:rsid w:val="001B4DE9"/>
    <w:rsid w:val="001E03C9"/>
    <w:rsid w:val="001F298A"/>
    <w:rsid w:val="001F62F0"/>
    <w:rsid w:val="00201897"/>
    <w:rsid w:val="0020433A"/>
    <w:rsid w:val="00227819"/>
    <w:rsid w:val="0024539F"/>
    <w:rsid w:val="0026124C"/>
    <w:rsid w:val="00272ED7"/>
    <w:rsid w:val="00273B23"/>
    <w:rsid w:val="00280622"/>
    <w:rsid w:val="0028603D"/>
    <w:rsid w:val="00295A43"/>
    <w:rsid w:val="002A18CF"/>
    <w:rsid w:val="002B593B"/>
    <w:rsid w:val="002D4841"/>
    <w:rsid w:val="002D7F7B"/>
    <w:rsid w:val="00300F45"/>
    <w:rsid w:val="00301E48"/>
    <w:rsid w:val="00306E97"/>
    <w:rsid w:val="003259F8"/>
    <w:rsid w:val="00336259"/>
    <w:rsid w:val="00337699"/>
    <w:rsid w:val="003503FC"/>
    <w:rsid w:val="0036364B"/>
    <w:rsid w:val="00380232"/>
    <w:rsid w:val="0038092E"/>
    <w:rsid w:val="00382D07"/>
    <w:rsid w:val="00392C5B"/>
    <w:rsid w:val="003A2914"/>
    <w:rsid w:val="003A2D8A"/>
    <w:rsid w:val="003A3742"/>
    <w:rsid w:val="003A57F5"/>
    <w:rsid w:val="003C3DCD"/>
    <w:rsid w:val="003E23FA"/>
    <w:rsid w:val="003E4814"/>
    <w:rsid w:val="003E4A38"/>
    <w:rsid w:val="003F00E8"/>
    <w:rsid w:val="00406227"/>
    <w:rsid w:val="00420381"/>
    <w:rsid w:val="00427A16"/>
    <w:rsid w:val="0045369F"/>
    <w:rsid w:val="00454913"/>
    <w:rsid w:val="0046097A"/>
    <w:rsid w:val="004B3E58"/>
    <w:rsid w:val="004B4071"/>
    <w:rsid w:val="004E4483"/>
    <w:rsid w:val="004F09E9"/>
    <w:rsid w:val="004F4CA4"/>
    <w:rsid w:val="004F702F"/>
    <w:rsid w:val="0051704E"/>
    <w:rsid w:val="005349E3"/>
    <w:rsid w:val="00544C66"/>
    <w:rsid w:val="00556D7C"/>
    <w:rsid w:val="00561491"/>
    <w:rsid w:val="00563B64"/>
    <w:rsid w:val="00584B64"/>
    <w:rsid w:val="005903E8"/>
    <w:rsid w:val="005A66F1"/>
    <w:rsid w:val="005C0533"/>
    <w:rsid w:val="005C2600"/>
    <w:rsid w:val="005D1D25"/>
    <w:rsid w:val="00604FDF"/>
    <w:rsid w:val="00610D5F"/>
    <w:rsid w:val="0061264F"/>
    <w:rsid w:val="0062498C"/>
    <w:rsid w:val="00626381"/>
    <w:rsid w:val="00634EB0"/>
    <w:rsid w:val="00635637"/>
    <w:rsid w:val="006374B2"/>
    <w:rsid w:val="00663809"/>
    <w:rsid w:val="0067077A"/>
    <w:rsid w:val="006719B2"/>
    <w:rsid w:val="0067465B"/>
    <w:rsid w:val="00687C5B"/>
    <w:rsid w:val="0069398D"/>
    <w:rsid w:val="006B3579"/>
    <w:rsid w:val="006B791B"/>
    <w:rsid w:val="006C0813"/>
    <w:rsid w:val="006E623A"/>
    <w:rsid w:val="006F7982"/>
    <w:rsid w:val="00746AB5"/>
    <w:rsid w:val="00747129"/>
    <w:rsid w:val="00757869"/>
    <w:rsid w:val="0076606E"/>
    <w:rsid w:val="00772F6E"/>
    <w:rsid w:val="00782599"/>
    <w:rsid w:val="007870EC"/>
    <w:rsid w:val="00793832"/>
    <w:rsid w:val="007B360C"/>
    <w:rsid w:val="007C0FF8"/>
    <w:rsid w:val="007E4561"/>
    <w:rsid w:val="00807480"/>
    <w:rsid w:val="0081428C"/>
    <w:rsid w:val="008259C3"/>
    <w:rsid w:val="008414F5"/>
    <w:rsid w:val="00847DDA"/>
    <w:rsid w:val="00853C27"/>
    <w:rsid w:val="008565BE"/>
    <w:rsid w:val="00862853"/>
    <w:rsid w:val="0086661F"/>
    <w:rsid w:val="00871366"/>
    <w:rsid w:val="00882FBF"/>
    <w:rsid w:val="00883CE3"/>
    <w:rsid w:val="00891305"/>
    <w:rsid w:val="008B4DD3"/>
    <w:rsid w:val="008B5204"/>
    <w:rsid w:val="008C1922"/>
    <w:rsid w:val="008D5163"/>
    <w:rsid w:val="008F68E4"/>
    <w:rsid w:val="009008E7"/>
    <w:rsid w:val="00901043"/>
    <w:rsid w:val="00911A85"/>
    <w:rsid w:val="00926026"/>
    <w:rsid w:val="0095501B"/>
    <w:rsid w:val="00970D9E"/>
    <w:rsid w:val="00973C04"/>
    <w:rsid w:val="00983A9B"/>
    <w:rsid w:val="009A1898"/>
    <w:rsid w:val="009B1EC5"/>
    <w:rsid w:val="009E44FD"/>
    <w:rsid w:val="009F6598"/>
    <w:rsid w:val="00A152E8"/>
    <w:rsid w:val="00A174E7"/>
    <w:rsid w:val="00A24908"/>
    <w:rsid w:val="00A3159B"/>
    <w:rsid w:val="00A33A5E"/>
    <w:rsid w:val="00A429D7"/>
    <w:rsid w:val="00A6213E"/>
    <w:rsid w:val="00A739CC"/>
    <w:rsid w:val="00A769DE"/>
    <w:rsid w:val="00AD0087"/>
    <w:rsid w:val="00AD1AAE"/>
    <w:rsid w:val="00AE05F3"/>
    <w:rsid w:val="00B0217C"/>
    <w:rsid w:val="00B213B7"/>
    <w:rsid w:val="00B21F9E"/>
    <w:rsid w:val="00B340AB"/>
    <w:rsid w:val="00B431C0"/>
    <w:rsid w:val="00B51D4B"/>
    <w:rsid w:val="00B521D0"/>
    <w:rsid w:val="00B55D03"/>
    <w:rsid w:val="00B57011"/>
    <w:rsid w:val="00B625E8"/>
    <w:rsid w:val="00B67E2D"/>
    <w:rsid w:val="00B87238"/>
    <w:rsid w:val="00B95E60"/>
    <w:rsid w:val="00B9619A"/>
    <w:rsid w:val="00B971BD"/>
    <w:rsid w:val="00B97C77"/>
    <w:rsid w:val="00BB22C0"/>
    <w:rsid w:val="00BB3733"/>
    <w:rsid w:val="00BC3429"/>
    <w:rsid w:val="00BE4A7C"/>
    <w:rsid w:val="00BF0773"/>
    <w:rsid w:val="00C011D9"/>
    <w:rsid w:val="00C207D9"/>
    <w:rsid w:val="00C24103"/>
    <w:rsid w:val="00C256C4"/>
    <w:rsid w:val="00C3588E"/>
    <w:rsid w:val="00C361AD"/>
    <w:rsid w:val="00C522E5"/>
    <w:rsid w:val="00C93D1D"/>
    <w:rsid w:val="00C97FBA"/>
    <w:rsid w:val="00CB71F6"/>
    <w:rsid w:val="00CB7A16"/>
    <w:rsid w:val="00CC2BA8"/>
    <w:rsid w:val="00CE447B"/>
    <w:rsid w:val="00CF1CBB"/>
    <w:rsid w:val="00CF3E73"/>
    <w:rsid w:val="00CF5314"/>
    <w:rsid w:val="00D11329"/>
    <w:rsid w:val="00D17CEB"/>
    <w:rsid w:val="00D364D4"/>
    <w:rsid w:val="00D43FAB"/>
    <w:rsid w:val="00D4526E"/>
    <w:rsid w:val="00D45F73"/>
    <w:rsid w:val="00D475C7"/>
    <w:rsid w:val="00D55556"/>
    <w:rsid w:val="00D6353E"/>
    <w:rsid w:val="00D7373D"/>
    <w:rsid w:val="00DB199C"/>
    <w:rsid w:val="00DB1CD0"/>
    <w:rsid w:val="00DC0861"/>
    <w:rsid w:val="00DC0C53"/>
    <w:rsid w:val="00DE68E4"/>
    <w:rsid w:val="00DF2F82"/>
    <w:rsid w:val="00DF3737"/>
    <w:rsid w:val="00E13CA3"/>
    <w:rsid w:val="00E1728B"/>
    <w:rsid w:val="00E220EB"/>
    <w:rsid w:val="00E236F1"/>
    <w:rsid w:val="00E56CA7"/>
    <w:rsid w:val="00E633A7"/>
    <w:rsid w:val="00E84A39"/>
    <w:rsid w:val="00EA23A6"/>
    <w:rsid w:val="00EA58D8"/>
    <w:rsid w:val="00EB3610"/>
    <w:rsid w:val="00EB4135"/>
    <w:rsid w:val="00EB7F80"/>
    <w:rsid w:val="00ED351D"/>
    <w:rsid w:val="00EF0A6F"/>
    <w:rsid w:val="00EF30E1"/>
    <w:rsid w:val="00EF4A34"/>
    <w:rsid w:val="00F1183B"/>
    <w:rsid w:val="00F179B0"/>
    <w:rsid w:val="00F208EF"/>
    <w:rsid w:val="00F21550"/>
    <w:rsid w:val="00F36B02"/>
    <w:rsid w:val="00F424A7"/>
    <w:rsid w:val="00F4423D"/>
    <w:rsid w:val="00F53B81"/>
    <w:rsid w:val="00F75224"/>
    <w:rsid w:val="00F81C8C"/>
    <w:rsid w:val="00F92213"/>
    <w:rsid w:val="00FA5251"/>
    <w:rsid w:val="00FB687F"/>
    <w:rsid w:val="00FB7998"/>
    <w:rsid w:val="00FC0548"/>
    <w:rsid w:val="00FD6750"/>
    <w:rsid w:val="00FE1F20"/>
    <w:rsid w:val="00FE445F"/>
    <w:rsid w:val="00FE5DBC"/>
    <w:rsid w:val="00FF45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FAF1"/>
  <w15:chartTrackingRefBased/>
  <w15:docId w15:val="{557D91CC-F700-1943-AF5E-60C33D39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33"/>
    <w:pPr>
      <w:spacing w:before="120" w:after="120" w:line="360" w:lineRule="auto"/>
      <w:jc w:val="both"/>
    </w:pPr>
    <w:rPr>
      <w:rFonts w:ascii="Times" w:hAnsi="Times"/>
    </w:rPr>
  </w:style>
  <w:style w:type="paragraph" w:styleId="Heading1">
    <w:name w:val="heading 1"/>
    <w:basedOn w:val="Normal"/>
    <w:next w:val="Normal"/>
    <w:link w:val="Heading1Char"/>
    <w:uiPriority w:val="9"/>
    <w:qFormat/>
    <w:rsid w:val="004F702F"/>
    <w:pPr>
      <w:keepNext/>
      <w:keepLines/>
      <w:spacing w:before="320" w:after="32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A26B7"/>
    <w:pPr>
      <w:keepNext/>
      <w:keepLines/>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1A26B7"/>
    <w:pPr>
      <w:keepNext/>
      <w:keepLines/>
      <w:spacing w:before="80" w:after="80"/>
      <w:outlineLvl w:val="2"/>
    </w:pPr>
    <w:rPr>
      <w:rFonts w:ascii="Times New Roman" w:eastAsiaTheme="majorEastAsia" w:hAnsi="Times New Roman"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2F"/>
    <w:rPr>
      <w:rFonts w:ascii="Times" w:eastAsiaTheme="majorEastAsia" w:hAnsi="Times" w:cstheme="majorBidi"/>
      <w:b/>
      <w:color w:val="000000" w:themeColor="text1"/>
      <w:sz w:val="28"/>
      <w:szCs w:val="32"/>
    </w:rPr>
  </w:style>
  <w:style w:type="character" w:customStyle="1" w:styleId="Heading2Char">
    <w:name w:val="Heading 2 Char"/>
    <w:basedOn w:val="DefaultParagraphFont"/>
    <w:link w:val="Heading2"/>
    <w:uiPriority w:val="9"/>
    <w:rsid w:val="001A26B7"/>
    <w:rPr>
      <w:rFonts w:ascii="Times" w:eastAsiaTheme="majorEastAsia" w:hAnsi="Times" w:cstheme="majorBidi"/>
      <w:b/>
      <w:color w:val="000000" w:themeColor="text1"/>
      <w:sz w:val="26"/>
      <w:szCs w:val="26"/>
    </w:rPr>
  </w:style>
  <w:style w:type="paragraph" w:styleId="ListParagraph">
    <w:name w:val="List Paragraph"/>
    <w:basedOn w:val="Normal"/>
    <w:uiPriority w:val="34"/>
    <w:qFormat/>
    <w:rsid w:val="00AD0087"/>
    <w:pPr>
      <w:ind w:left="720"/>
      <w:contextualSpacing/>
    </w:pPr>
  </w:style>
  <w:style w:type="paragraph" w:styleId="FootnoteText">
    <w:name w:val="footnote text"/>
    <w:basedOn w:val="Normal"/>
    <w:link w:val="FootnoteTextChar"/>
    <w:uiPriority w:val="99"/>
    <w:semiHidden/>
    <w:unhideWhenUsed/>
    <w:rsid w:val="00A739CC"/>
    <w:rPr>
      <w:sz w:val="20"/>
      <w:szCs w:val="20"/>
    </w:rPr>
  </w:style>
  <w:style w:type="character" w:customStyle="1" w:styleId="FootnoteTextChar">
    <w:name w:val="Footnote Text Char"/>
    <w:basedOn w:val="DefaultParagraphFont"/>
    <w:link w:val="FootnoteText"/>
    <w:uiPriority w:val="99"/>
    <w:semiHidden/>
    <w:rsid w:val="00A739CC"/>
    <w:rPr>
      <w:rFonts w:ascii="Times" w:hAnsi="Times"/>
      <w:sz w:val="20"/>
      <w:szCs w:val="20"/>
    </w:rPr>
  </w:style>
  <w:style w:type="character" w:styleId="FootnoteReference">
    <w:name w:val="footnote reference"/>
    <w:basedOn w:val="DefaultParagraphFont"/>
    <w:uiPriority w:val="99"/>
    <w:semiHidden/>
    <w:unhideWhenUsed/>
    <w:rsid w:val="00A739CC"/>
    <w:rPr>
      <w:vertAlign w:val="superscript"/>
    </w:rPr>
  </w:style>
  <w:style w:type="character" w:styleId="PlaceholderText">
    <w:name w:val="Placeholder Text"/>
    <w:basedOn w:val="DefaultParagraphFont"/>
    <w:uiPriority w:val="99"/>
    <w:semiHidden/>
    <w:rsid w:val="001317A3"/>
    <w:rPr>
      <w:color w:val="808080"/>
    </w:rPr>
  </w:style>
  <w:style w:type="paragraph" w:styleId="Footer">
    <w:name w:val="footer"/>
    <w:basedOn w:val="Normal"/>
    <w:link w:val="FooterChar"/>
    <w:uiPriority w:val="99"/>
    <w:unhideWhenUsed/>
    <w:rsid w:val="00056C76"/>
    <w:pPr>
      <w:tabs>
        <w:tab w:val="center" w:pos="4513"/>
        <w:tab w:val="right" w:pos="9026"/>
      </w:tabs>
    </w:pPr>
  </w:style>
  <w:style w:type="character" w:customStyle="1" w:styleId="FooterChar">
    <w:name w:val="Footer Char"/>
    <w:basedOn w:val="DefaultParagraphFont"/>
    <w:link w:val="Footer"/>
    <w:uiPriority w:val="99"/>
    <w:rsid w:val="00056C76"/>
    <w:rPr>
      <w:rFonts w:ascii="Times" w:hAnsi="Times"/>
    </w:rPr>
  </w:style>
  <w:style w:type="character" w:styleId="PageNumber">
    <w:name w:val="page number"/>
    <w:basedOn w:val="DefaultParagraphFont"/>
    <w:uiPriority w:val="99"/>
    <w:semiHidden/>
    <w:unhideWhenUsed/>
    <w:rsid w:val="00056C76"/>
  </w:style>
  <w:style w:type="paragraph" w:styleId="Bibliography">
    <w:name w:val="Bibliography"/>
    <w:basedOn w:val="Normal"/>
    <w:next w:val="Normal"/>
    <w:uiPriority w:val="37"/>
    <w:unhideWhenUsed/>
    <w:rsid w:val="00F1183B"/>
    <w:pPr>
      <w:spacing w:line="480" w:lineRule="auto"/>
      <w:ind w:left="720" w:hanging="720"/>
    </w:pPr>
  </w:style>
  <w:style w:type="paragraph" w:styleId="Revision">
    <w:name w:val="Revision"/>
    <w:hidden/>
    <w:uiPriority w:val="99"/>
    <w:semiHidden/>
    <w:rsid w:val="00336259"/>
    <w:rPr>
      <w:rFonts w:ascii="Times" w:hAnsi="Times"/>
    </w:rPr>
  </w:style>
  <w:style w:type="character" w:styleId="CommentReference">
    <w:name w:val="annotation reference"/>
    <w:basedOn w:val="DefaultParagraphFont"/>
    <w:uiPriority w:val="99"/>
    <w:semiHidden/>
    <w:unhideWhenUsed/>
    <w:rsid w:val="00336259"/>
    <w:rPr>
      <w:sz w:val="21"/>
      <w:szCs w:val="21"/>
    </w:rPr>
  </w:style>
  <w:style w:type="paragraph" w:styleId="CommentText">
    <w:name w:val="annotation text"/>
    <w:basedOn w:val="Normal"/>
    <w:link w:val="CommentTextChar"/>
    <w:uiPriority w:val="99"/>
    <w:unhideWhenUsed/>
    <w:rsid w:val="00336259"/>
    <w:pPr>
      <w:jc w:val="left"/>
    </w:pPr>
  </w:style>
  <w:style w:type="character" w:customStyle="1" w:styleId="CommentTextChar">
    <w:name w:val="Comment Text Char"/>
    <w:basedOn w:val="DefaultParagraphFont"/>
    <w:link w:val="CommentText"/>
    <w:uiPriority w:val="99"/>
    <w:rsid w:val="00336259"/>
    <w:rPr>
      <w:rFonts w:ascii="Times" w:hAnsi="Times"/>
    </w:rPr>
  </w:style>
  <w:style w:type="paragraph" w:styleId="CommentSubject">
    <w:name w:val="annotation subject"/>
    <w:basedOn w:val="CommentText"/>
    <w:next w:val="CommentText"/>
    <w:link w:val="CommentSubjectChar"/>
    <w:uiPriority w:val="99"/>
    <w:semiHidden/>
    <w:unhideWhenUsed/>
    <w:rsid w:val="00336259"/>
    <w:rPr>
      <w:b/>
      <w:bCs/>
    </w:rPr>
  </w:style>
  <w:style w:type="character" w:customStyle="1" w:styleId="CommentSubjectChar">
    <w:name w:val="Comment Subject Char"/>
    <w:basedOn w:val="CommentTextChar"/>
    <w:link w:val="CommentSubject"/>
    <w:uiPriority w:val="99"/>
    <w:semiHidden/>
    <w:rsid w:val="00336259"/>
    <w:rPr>
      <w:rFonts w:ascii="Times" w:hAnsi="Times"/>
      <w:b/>
      <w:bCs/>
    </w:rPr>
  </w:style>
  <w:style w:type="paragraph" w:styleId="Caption">
    <w:name w:val="caption"/>
    <w:basedOn w:val="Normal"/>
    <w:next w:val="Normal"/>
    <w:uiPriority w:val="35"/>
    <w:unhideWhenUsed/>
    <w:qFormat/>
    <w:rsid w:val="00626381"/>
    <w:pPr>
      <w:spacing w:after="200" w:line="240" w:lineRule="auto"/>
    </w:pPr>
    <w:rPr>
      <w:iCs/>
      <w:color w:val="000000" w:themeColor="text1"/>
      <w:sz w:val="22"/>
      <w:szCs w:val="18"/>
    </w:rPr>
  </w:style>
  <w:style w:type="character" w:styleId="EndnoteReference">
    <w:name w:val="endnote reference"/>
    <w:basedOn w:val="DefaultParagraphFont"/>
    <w:uiPriority w:val="99"/>
    <w:semiHidden/>
    <w:unhideWhenUsed/>
    <w:rsid w:val="00D7373D"/>
    <w:rPr>
      <w:vertAlign w:val="superscript"/>
    </w:rPr>
  </w:style>
  <w:style w:type="character" w:styleId="Strong">
    <w:name w:val="Strong"/>
    <w:basedOn w:val="DefaultParagraphFont"/>
    <w:uiPriority w:val="22"/>
    <w:qFormat/>
    <w:rsid w:val="00EB4135"/>
    <w:rPr>
      <w:b/>
      <w:bCs/>
    </w:rPr>
  </w:style>
  <w:style w:type="paragraph" w:styleId="NormalWeb">
    <w:name w:val="Normal (Web)"/>
    <w:basedOn w:val="Normal"/>
    <w:uiPriority w:val="99"/>
    <w:unhideWhenUsed/>
    <w:rsid w:val="00584B64"/>
    <w:rPr>
      <w:rFonts w:ascii="Times New Roman" w:hAnsi="Times New Roman" w:cs="Times New Roman"/>
    </w:rPr>
  </w:style>
  <w:style w:type="character" w:styleId="HTMLCode">
    <w:name w:val="HTML Code"/>
    <w:basedOn w:val="DefaultParagraphFont"/>
    <w:uiPriority w:val="99"/>
    <w:semiHidden/>
    <w:unhideWhenUsed/>
    <w:rsid w:val="00584B6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A26B7"/>
    <w:rPr>
      <w:rFonts w:ascii="Times New Roman" w:eastAsiaTheme="majorEastAsia" w:hAnsi="Times New Roman" w:cstheme="majorBidi"/>
      <w:b/>
      <w:color w:val="000000" w:themeColor="text1"/>
    </w:rPr>
  </w:style>
  <w:style w:type="character" w:styleId="Emphasis">
    <w:name w:val="Emphasis"/>
    <w:basedOn w:val="DefaultParagraphFont"/>
    <w:uiPriority w:val="20"/>
    <w:qFormat/>
    <w:rsid w:val="00E1728B"/>
    <w:rPr>
      <w:i/>
      <w:iCs/>
    </w:rPr>
  </w:style>
  <w:style w:type="character" w:customStyle="1" w:styleId="katex-mathml">
    <w:name w:val="katex-mathml"/>
    <w:basedOn w:val="DefaultParagraphFont"/>
    <w:rsid w:val="00C361AD"/>
  </w:style>
  <w:style w:type="character" w:customStyle="1" w:styleId="mord">
    <w:name w:val="mord"/>
    <w:basedOn w:val="DefaultParagraphFont"/>
    <w:rsid w:val="00C361AD"/>
  </w:style>
  <w:style w:type="character" w:customStyle="1" w:styleId="vlist-s">
    <w:name w:val="vlist-s"/>
    <w:basedOn w:val="DefaultParagraphFont"/>
    <w:rsid w:val="00C361AD"/>
  </w:style>
  <w:style w:type="character" w:customStyle="1" w:styleId="mrel">
    <w:name w:val="mrel"/>
    <w:basedOn w:val="DefaultParagraphFont"/>
    <w:rsid w:val="00C361AD"/>
  </w:style>
  <w:style w:type="character" w:customStyle="1" w:styleId="mopen">
    <w:name w:val="mopen"/>
    <w:basedOn w:val="DefaultParagraphFont"/>
    <w:rsid w:val="00C361AD"/>
  </w:style>
  <w:style w:type="character" w:customStyle="1" w:styleId="mclose">
    <w:name w:val="mclose"/>
    <w:basedOn w:val="DefaultParagraphFont"/>
    <w:rsid w:val="00C361AD"/>
  </w:style>
  <w:style w:type="table" w:styleId="TableGrid">
    <w:name w:val="Table Grid"/>
    <w:basedOn w:val="TableNormal"/>
    <w:uiPriority w:val="39"/>
    <w:rsid w:val="004E4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4225">
      <w:bodyDiv w:val="1"/>
      <w:marLeft w:val="0"/>
      <w:marRight w:val="0"/>
      <w:marTop w:val="0"/>
      <w:marBottom w:val="0"/>
      <w:divBdr>
        <w:top w:val="none" w:sz="0" w:space="0" w:color="auto"/>
        <w:left w:val="none" w:sz="0" w:space="0" w:color="auto"/>
        <w:bottom w:val="none" w:sz="0" w:space="0" w:color="auto"/>
        <w:right w:val="none" w:sz="0" w:space="0" w:color="auto"/>
      </w:divBdr>
      <w:divsChild>
        <w:div w:id="227959665">
          <w:marLeft w:val="0"/>
          <w:marRight w:val="0"/>
          <w:marTop w:val="0"/>
          <w:marBottom w:val="0"/>
          <w:divBdr>
            <w:top w:val="none" w:sz="0" w:space="0" w:color="auto"/>
            <w:left w:val="none" w:sz="0" w:space="0" w:color="auto"/>
            <w:bottom w:val="none" w:sz="0" w:space="0" w:color="auto"/>
            <w:right w:val="none" w:sz="0" w:space="0" w:color="auto"/>
          </w:divBdr>
          <w:divsChild>
            <w:div w:id="1299413508">
              <w:marLeft w:val="0"/>
              <w:marRight w:val="0"/>
              <w:marTop w:val="0"/>
              <w:marBottom w:val="0"/>
              <w:divBdr>
                <w:top w:val="none" w:sz="0" w:space="0" w:color="auto"/>
                <w:left w:val="none" w:sz="0" w:space="0" w:color="auto"/>
                <w:bottom w:val="none" w:sz="0" w:space="0" w:color="auto"/>
                <w:right w:val="none" w:sz="0" w:space="0" w:color="auto"/>
              </w:divBdr>
              <w:divsChild>
                <w:div w:id="1515144482">
                  <w:marLeft w:val="0"/>
                  <w:marRight w:val="0"/>
                  <w:marTop w:val="0"/>
                  <w:marBottom w:val="0"/>
                  <w:divBdr>
                    <w:top w:val="none" w:sz="0" w:space="0" w:color="auto"/>
                    <w:left w:val="none" w:sz="0" w:space="0" w:color="auto"/>
                    <w:bottom w:val="none" w:sz="0" w:space="0" w:color="auto"/>
                    <w:right w:val="none" w:sz="0" w:space="0" w:color="auto"/>
                  </w:divBdr>
                  <w:divsChild>
                    <w:div w:id="1405104304">
                      <w:marLeft w:val="0"/>
                      <w:marRight w:val="0"/>
                      <w:marTop w:val="0"/>
                      <w:marBottom w:val="0"/>
                      <w:divBdr>
                        <w:top w:val="none" w:sz="0" w:space="0" w:color="auto"/>
                        <w:left w:val="none" w:sz="0" w:space="0" w:color="auto"/>
                        <w:bottom w:val="none" w:sz="0" w:space="0" w:color="auto"/>
                        <w:right w:val="none" w:sz="0" w:space="0" w:color="auto"/>
                      </w:divBdr>
                      <w:divsChild>
                        <w:div w:id="746078775">
                          <w:marLeft w:val="0"/>
                          <w:marRight w:val="0"/>
                          <w:marTop w:val="0"/>
                          <w:marBottom w:val="0"/>
                          <w:divBdr>
                            <w:top w:val="none" w:sz="0" w:space="0" w:color="auto"/>
                            <w:left w:val="none" w:sz="0" w:space="0" w:color="auto"/>
                            <w:bottom w:val="none" w:sz="0" w:space="0" w:color="auto"/>
                            <w:right w:val="none" w:sz="0" w:space="0" w:color="auto"/>
                          </w:divBdr>
                          <w:divsChild>
                            <w:div w:id="56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2424">
      <w:bodyDiv w:val="1"/>
      <w:marLeft w:val="0"/>
      <w:marRight w:val="0"/>
      <w:marTop w:val="0"/>
      <w:marBottom w:val="0"/>
      <w:divBdr>
        <w:top w:val="none" w:sz="0" w:space="0" w:color="auto"/>
        <w:left w:val="none" w:sz="0" w:space="0" w:color="auto"/>
        <w:bottom w:val="none" w:sz="0" w:space="0" w:color="auto"/>
        <w:right w:val="none" w:sz="0" w:space="0" w:color="auto"/>
      </w:divBdr>
    </w:div>
    <w:div w:id="90704705">
      <w:bodyDiv w:val="1"/>
      <w:marLeft w:val="0"/>
      <w:marRight w:val="0"/>
      <w:marTop w:val="0"/>
      <w:marBottom w:val="0"/>
      <w:divBdr>
        <w:top w:val="none" w:sz="0" w:space="0" w:color="auto"/>
        <w:left w:val="none" w:sz="0" w:space="0" w:color="auto"/>
        <w:bottom w:val="none" w:sz="0" w:space="0" w:color="auto"/>
        <w:right w:val="none" w:sz="0" w:space="0" w:color="auto"/>
      </w:divBdr>
    </w:div>
    <w:div w:id="105009133">
      <w:bodyDiv w:val="1"/>
      <w:marLeft w:val="0"/>
      <w:marRight w:val="0"/>
      <w:marTop w:val="0"/>
      <w:marBottom w:val="0"/>
      <w:divBdr>
        <w:top w:val="none" w:sz="0" w:space="0" w:color="auto"/>
        <w:left w:val="none" w:sz="0" w:space="0" w:color="auto"/>
        <w:bottom w:val="none" w:sz="0" w:space="0" w:color="auto"/>
        <w:right w:val="none" w:sz="0" w:space="0" w:color="auto"/>
      </w:divBdr>
    </w:div>
    <w:div w:id="135417582">
      <w:bodyDiv w:val="1"/>
      <w:marLeft w:val="0"/>
      <w:marRight w:val="0"/>
      <w:marTop w:val="0"/>
      <w:marBottom w:val="0"/>
      <w:divBdr>
        <w:top w:val="none" w:sz="0" w:space="0" w:color="auto"/>
        <w:left w:val="none" w:sz="0" w:space="0" w:color="auto"/>
        <w:bottom w:val="none" w:sz="0" w:space="0" w:color="auto"/>
        <w:right w:val="none" w:sz="0" w:space="0" w:color="auto"/>
      </w:divBdr>
    </w:div>
    <w:div w:id="374694154">
      <w:bodyDiv w:val="1"/>
      <w:marLeft w:val="0"/>
      <w:marRight w:val="0"/>
      <w:marTop w:val="0"/>
      <w:marBottom w:val="0"/>
      <w:divBdr>
        <w:top w:val="none" w:sz="0" w:space="0" w:color="auto"/>
        <w:left w:val="none" w:sz="0" w:space="0" w:color="auto"/>
        <w:bottom w:val="none" w:sz="0" w:space="0" w:color="auto"/>
        <w:right w:val="none" w:sz="0" w:space="0" w:color="auto"/>
      </w:divBdr>
    </w:div>
    <w:div w:id="474572180">
      <w:bodyDiv w:val="1"/>
      <w:marLeft w:val="0"/>
      <w:marRight w:val="0"/>
      <w:marTop w:val="0"/>
      <w:marBottom w:val="0"/>
      <w:divBdr>
        <w:top w:val="none" w:sz="0" w:space="0" w:color="auto"/>
        <w:left w:val="none" w:sz="0" w:space="0" w:color="auto"/>
        <w:bottom w:val="none" w:sz="0" w:space="0" w:color="auto"/>
        <w:right w:val="none" w:sz="0" w:space="0" w:color="auto"/>
      </w:divBdr>
      <w:divsChild>
        <w:div w:id="1708482033">
          <w:marLeft w:val="0"/>
          <w:marRight w:val="0"/>
          <w:marTop w:val="0"/>
          <w:marBottom w:val="0"/>
          <w:divBdr>
            <w:top w:val="none" w:sz="0" w:space="0" w:color="auto"/>
            <w:left w:val="none" w:sz="0" w:space="0" w:color="auto"/>
            <w:bottom w:val="none" w:sz="0" w:space="0" w:color="auto"/>
            <w:right w:val="none" w:sz="0" w:space="0" w:color="auto"/>
          </w:divBdr>
          <w:divsChild>
            <w:div w:id="1808620726">
              <w:marLeft w:val="0"/>
              <w:marRight w:val="0"/>
              <w:marTop w:val="0"/>
              <w:marBottom w:val="0"/>
              <w:divBdr>
                <w:top w:val="none" w:sz="0" w:space="0" w:color="auto"/>
                <w:left w:val="none" w:sz="0" w:space="0" w:color="auto"/>
                <w:bottom w:val="none" w:sz="0" w:space="0" w:color="auto"/>
                <w:right w:val="none" w:sz="0" w:space="0" w:color="auto"/>
              </w:divBdr>
              <w:divsChild>
                <w:div w:id="1540627924">
                  <w:marLeft w:val="0"/>
                  <w:marRight w:val="0"/>
                  <w:marTop w:val="0"/>
                  <w:marBottom w:val="0"/>
                  <w:divBdr>
                    <w:top w:val="none" w:sz="0" w:space="0" w:color="auto"/>
                    <w:left w:val="none" w:sz="0" w:space="0" w:color="auto"/>
                    <w:bottom w:val="none" w:sz="0" w:space="0" w:color="auto"/>
                    <w:right w:val="none" w:sz="0" w:space="0" w:color="auto"/>
                  </w:divBdr>
                  <w:divsChild>
                    <w:div w:id="1460878703">
                      <w:marLeft w:val="0"/>
                      <w:marRight w:val="0"/>
                      <w:marTop w:val="0"/>
                      <w:marBottom w:val="0"/>
                      <w:divBdr>
                        <w:top w:val="none" w:sz="0" w:space="0" w:color="auto"/>
                        <w:left w:val="none" w:sz="0" w:space="0" w:color="auto"/>
                        <w:bottom w:val="none" w:sz="0" w:space="0" w:color="auto"/>
                        <w:right w:val="none" w:sz="0" w:space="0" w:color="auto"/>
                      </w:divBdr>
                      <w:divsChild>
                        <w:div w:id="1106314729">
                          <w:marLeft w:val="0"/>
                          <w:marRight w:val="0"/>
                          <w:marTop w:val="0"/>
                          <w:marBottom w:val="0"/>
                          <w:divBdr>
                            <w:top w:val="none" w:sz="0" w:space="0" w:color="auto"/>
                            <w:left w:val="none" w:sz="0" w:space="0" w:color="auto"/>
                            <w:bottom w:val="none" w:sz="0" w:space="0" w:color="auto"/>
                            <w:right w:val="none" w:sz="0" w:space="0" w:color="auto"/>
                          </w:divBdr>
                          <w:divsChild>
                            <w:div w:id="16438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326917">
      <w:bodyDiv w:val="1"/>
      <w:marLeft w:val="0"/>
      <w:marRight w:val="0"/>
      <w:marTop w:val="0"/>
      <w:marBottom w:val="0"/>
      <w:divBdr>
        <w:top w:val="none" w:sz="0" w:space="0" w:color="auto"/>
        <w:left w:val="none" w:sz="0" w:space="0" w:color="auto"/>
        <w:bottom w:val="none" w:sz="0" w:space="0" w:color="auto"/>
        <w:right w:val="none" w:sz="0" w:space="0" w:color="auto"/>
      </w:divBdr>
    </w:div>
    <w:div w:id="813109127">
      <w:bodyDiv w:val="1"/>
      <w:marLeft w:val="0"/>
      <w:marRight w:val="0"/>
      <w:marTop w:val="0"/>
      <w:marBottom w:val="0"/>
      <w:divBdr>
        <w:top w:val="none" w:sz="0" w:space="0" w:color="auto"/>
        <w:left w:val="none" w:sz="0" w:space="0" w:color="auto"/>
        <w:bottom w:val="none" w:sz="0" w:space="0" w:color="auto"/>
        <w:right w:val="none" w:sz="0" w:space="0" w:color="auto"/>
      </w:divBdr>
    </w:div>
    <w:div w:id="907886978">
      <w:bodyDiv w:val="1"/>
      <w:marLeft w:val="0"/>
      <w:marRight w:val="0"/>
      <w:marTop w:val="0"/>
      <w:marBottom w:val="0"/>
      <w:divBdr>
        <w:top w:val="none" w:sz="0" w:space="0" w:color="auto"/>
        <w:left w:val="none" w:sz="0" w:space="0" w:color="auto"/>
        <w:bottom w:val="none" w:sz="0" w:space="0" w:color="auto"/>
        <w:right w:val="none" w:sz="0" w:space="0" w:color="auto"/>
      </w:divBdr>
    </w:div>
    <w:div w:id="936521901">
      <w:bodyDiv w:val="1"/>
      <w:marLeft w:val="0"/>
      <w:marRight w:val="0"/>
      <w:marTop w:val="0"/>
      <w:marBottom w:val="0"/>
      <w:divBdr>
        <w:top w:val="none" w:sz="0" w:space="0" w:color="auto"/>
        <w:left w:val="none" w:sz="0" w:space="0" w:color="auto"/>
        <w:bottom w:val="none" w:sz="0" w:space="0" w:color="auto"/>
        <w:right w:val="none" w:sz="0" w:space="0" w:color="auto"/>
      </w:divBdr>
    </w:div>
    <w:div w:id="1009335245">
      <w:bodyDiv w:val="1"/>
      <w:marLeft w:val="0"/>
      <w:marRight w:val="0"/>
      <w:marTop w:val="0"/>
      <w:marBottom w:val="0"/>
      <w:divBdr>
        <w:top w:val="none" w:sz="0" w:space="0" w:color="auto"/>
        <w:left w:val="none" w:sz="0" w:space="0" w:color="auto"/>
        <w:bottom w:val="none" w:sz="0" w:space="0" w:color="auto"/>
        <w:right w:val="none" w:sz="0" w:space="0" w:color="auto"/>
      </w:divBdr>
    </w:div>
    <w:div w:id="1136335450">
      <w:bodyDiv w:val="1"/>
      <w:marLeft w:val="0"/>
      <w:marRight w:val="0"/>
      <w:marTop w:val="0"/>
      <w:marBottom w:val="0"/>
      <w:divBdr>
        <w:top w:val="none" w:sz="0" w:space="0" w:color="auto"/>
        <w:left w:val="none" w:sz="0" w:space="0" w:color="auto"/>
        <w:bottom w:val="none" w:sz="0" w:space="0" w:color="auto"/>
        <w:right w:val="none" w:sz="0" w:space="0" w:color="auto"/>
      </w:divBdr>
    </w:div>
    <w:div w:id="1156264358">
      <w:bodyDiv w:val="1"/>
      <w:marLeft w:val="0"/>
      <w:marRight w:val="0"/>
      <w:marTop w:val="0"/>
      <w:marBottom w:val="0"/>
      <w:divBdr>
        <w:top w:val="none" w:sz="0" w:space="0" w:color="auto"/>
        <w:left w:val="none" w:sz="0" w:space="0" w:color="auto"/>
        <w:bottom w:val="none" w:sz="0" w:space="0" w:color="auto"/>
        <w:right w:val="none" w:sz="0" w:space="0" w:color="auto"/>
      </w:divBdr>
    </w:div>
    <w:div w:id="1212035215">
      <w:bodyDiv w:val="1"/>
      <w:marLeft w:val="0"/>
      <w:marRight w:val="0"/>
      <w:marTop w:val="0"/>
      <w:marBottom w:val="0"/>
      <w:divBdr>
        <w:top w:val="none" w:sz="0" w:space="0" w:color="auto"/>
        <w:left w:val="none" w:sz="0" w:space="0" w:color="auto"/>
        <w:bottom w:val="none" w:sz="0" w:space="0" w:color="auto"/>
        <w:right w:val="none" w:sz="0" w:space="0" w:color="auto"/>
      </w:divBdr>
    </w:div>
    <w:div w:id="1296449376">
      <w:bodyDiv w:val="1"/>
      <w:marLeft w:val="0"/>
      <w:marRight w:val="0"/>
      <w:marTop w:val="0"/>
      <w:marBottom w:val="0"/>
      <w:divBdr>
        <w:top w:val="none" w:sz="0" w:space="0" w:color="auto"/>
        <w:left w:val="none" w:sz="0" w:space="0" w:color="auto"/>
        <w:bottom w:val="none" w:sz="0" w:space="0" w:color="auto"/>
        <w:right w:val="none" w:sz="0" w:space="0" w:color="auto"/>
      </w:divBdr>
      <w:divsChild>
        <w:div w:id="77411273">
          <w:marLeft w:val="0"/>
          <w:marRight w:val="0"/>
          <w:marTop w:val="0"/>
          <w:marBottom w:val="0"/>
          <w:divBdr>
            <w:top w:val="none" w:sz="0" w:space="0" w:color="auto"/>
            <w:left w:val="none" w:sz="0" w:space="0" w:color="auto"/>
            <w:bottom w:val="none" w:sz="0" w:space="0" w:color="auto"/>
            <w:right w:val="none" w:sz="0" w:space="0" w:color="auto"/>
          </w:divBdr>
          <w:divsChild>
            <w:div w:id="101539236">
              <w:marLeft w:val="0"/>
              <w:marRight w:val="0"/>
              <w:marTop w:val="0"/>
              <w:marBottom w:val="0"/>
              <w:divBdr>
                <w:top w:val="none" w:sz="0" w:space="0" w:color="auto"/>
                <w:left w:val="none" w:sz="0" w:space="0" w:color="auto"/>
                <w:bottom w:val="none" w:sz="0" w:space="0" w:color="auto"/>
                <w:right w:val="none" w:sz="0" w:space="0" w:color="auto"/>
              </w:divBdr>
              <w:divsChild>
                <w:div w:id="1960601861">
                  <w:marLeft w:val="0"/>
                  <w:marRight w:val="0"/>
                  <w:marTop w:val="0"/>
                  <w:marBottom w:val="0"/>
                  <w:divBdr>
                    <w:top w:val="none" w:sz="0" w:space="0" w:color="auto"/>
                    <w:left w:val="none" w:sz="0" w:space="0" w:color="auto"/>
                    <w:bottom w:val="none" w:sz="0" w:space="0" w:color="auto"/>
                    <w:right w:val="none" w:sz="0" w:space="0" w:color="auto"/>
                  </w:divBdr>
                  <w:divsChild>
                    <w:div w:id="739407513">
                      <w:marLeft w:val="0"/>
                      <w:marRight w:val="0"/>
                      <w:marTop w:val="0"/>
                      <w:marBottom w:val="0"/>
                      <w:divBdr>
                        <w:top w:val="none" w:sz="0" w:space="0" w:color="auto"/>
                        <w:left w:val="none" w:sz="0" w:space="0" w:color="auto"/>
                        <w:bottom w:val="none" w:sz="0" w:space="0" w:color="auto"/>
                        <w:right w:val="none" w:sz="0" w:space="0" w:color="auto"/>
                      </w:divBdr>
                      <w:divsChild>
                        <w:div w:id="467010681">
                          <w:marLeft w:val="0"/>
                          <w:marRight w:val="0"/>
                          <w:marTop w:val="0"/>
                          <w:marBottom w:val="0"/>
                          <w:divBdr>
                            <w:top w:val="none" w:sz="0" w:space="0" w:color="auto"/>
                            <w:left w:val="none" w:sz="0" w:space="0" w:color="auto"/>
                            <w:bottom w:val="none" w:sz="0" w:space="0" w:color="auto"/>
                            <w:right w:val="none" w:sz="0" w:space="0" w:color="auto"/>
                          </w:divBdr>
                          <w:divsChild>
                            <w:div w:id="18162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91550">
      <w:bodyDiv w:val="1"/>
      <w:marLeft w:val="0"/>
      <w:marRight w:val="0"/>
      <w:marTop w:val="0"/>
      <w:marBottom w:val="0"/>
      <w:divBdr>
        <w:top w:val="none" w:sz="0" w:space="0" w:color="auto"/>
        <w:left w:val="none" w:sz="0" w:space="0" w:color="auto"/>
        <w:bottom w:val="none" w:sz="0" w:space="0" w:color="auto"/>
        <w:right w:val="none" w:sz="0" w:space="0" w:color="auto"/>
      </w:divBdr>
    </w:div>
    <w:div w:id="1531795321">
      <w:bodyDiv w:val="1"/>
      <w:marLeft w:val="0"/>
      <w:marRight w:val="0"/>
      <w:marTop w:val="0"/>
      <w:marBottom w:val="0"/>
      <w:divBdr>
        <w:top w:val="none" w:sz="0" w:space="0" w:color="auto"/>
        <w:left w:val="none" w:sz="0" w:space="0" w:color="auto"/>
        <w:bottom w:val="none" w:sz="0" w:space="0" w:color="auto"/>
        <w:right w:val="none" w:sz="0" w:space="0" w:color="auto"/>
      </w:divBdr>
    </w:div>
    <w:div w:id="1600068174">
      <w:bodyDiv w:val="1"/>
      <w:marLeft w:val="0"/>
      <w:marRight w:val="0"/>
      <w:marTop w:val="0"/>
      <w:marBottom w:val="0"/>
      <w:divBdr>
        <w:top w:val="none" w:sz="0" w:space="0" w:color="auto"/>
        <w:left w:val="none" w:sz="0" w:space="0" w:color="auto"/>
        <w:bottom w:val="none" w:sz="0" w:space="0" w:color="auto"/>
        <w:right w:val="none" w:sz="0" w:space="0" w:color="auto"/>
      </w:divBdr>
    </w:div>
    <w:div w:id="1642228828">
      <w:bodyDiv w:val="1"/>
      <w:marLeft w:val="0"/>
      <w:marRight w:val="0"/>
      <w:marTop w:val="0"/>
      <w:marBottom w:val="0"/>
      <w:divBdr>
        <w:top w:val="none" w:sz="0" w:space="0" w:color="auto"/>
        <w:left w:val="none" w:sz="0" w:space="0" w:color="auto"/>
        <w:bottom w:val="none" w:sz="0" w:space="0" w:color="auto"/>
        <w:right w:val="none" w:sz="0" w:space="0" w:color="auto"/>
      </w:divBdr>
      <w:divsChild>
        <w:div w:id="785388748">
          <w:marLeft w:val="0"/>
          <w:marRight w:val="0"/>
          <w:marTop w:val="0"/>
          <w:marBottom w:val="0"/>
          <w:divBdr>
            <w:top w:val="none" w:sz="0" w:space="0" w:color="auto"/>
            <w:left w:val="none" w:sz="0" w:space="0" w:color="auto"/>
            <w:bottom w:val="none" w:sz="0" w:space="0" w:color="auto"/>
            <w:right w:val="none" w:sz="0" w:space="0" w:color="auto"/>
          </w:divBdr>
          <w:divsChild>
            <w:div w:id="389429697">
              <w:marLeft w:val="0"/>
              <w:marRight w:val="0"/>
              <w:marTop w:val="0"/>
              <w:marBottom w:val="0"/>
              <w:divBdr>
                <w:top w:val="none" w:sz="0" w:space="0" w:color="auto"/>
                <w:left w:val="none" w:sz="0" w:space="0" w:color="auto"/>
                <w:bottom w:val="none" w:sz="0" w:space="0" w:color="auto"/>
                <w:right w:val="none" w:sz="0" w:space="0" w:color="auto"/>
              </w:divBdr>
              <w:divsChild>
                <w:div w:id="1308784736">
                  <w:marLeft w:val="0"/>
                  <w:marRight w:val="0"/>
                  <w:marTop w:val="0"/>
                  <w:marBottom w:val="0"/>
                  <w:divBdr>
                    <w:top w:val="none" w:sz="0" w:space="0" w:color="auto"/>
                    <w:left w:val="none" w:sz="0" w:space="0" w:color="auto"/>
                    <w:bottom w:val="none" w:sz="0" w:space="0" w:color="auto"/>
                    <w:right w:val="none" w:sz="0" w:space="0" w:color="auto"/>
                  </w:divBdr>
                  <w:divsChild>
                    <w:div w:id="171338561">
                      <w:marLeft w:val="0"/>
                      <w:marRight w:val="0"/>
                      <w:marTop w:val="0"/>
                      <w:marBottom w:val="0"/>
                      <w:divBdr>
                        <w:top w:val="none" w:sz="0" w:space="0" w:color="auto"/>
                        <w:left w:val="none" w:sz="0" w:space="0" w:color="auto"/>
                        <w:bottom w:val="none" w:sz="0" w:space="0" w:color="auto"/>
                        <w:right w:val="none" w:sz="0" w:space="0" w:color="auto"/>
                      </w:divBdr>
                      <w:divsChild>
                        <w:div w:id="206722645">
                          <w:marLeft w:val="0"/>
                          <w:marRight w:val="0"/>
                          <w:marTop w:val="0"/>
                          <w:marBottom w:val="0"/>
                          <w:divBdr>
                            <w:top w:val="none" w:sz="0" w:space="0" w:color="auto"/>
                            <w:left w:val="none" w:sz="0" w:space="0" w:color="auto"/>
                            <w:bottom w:val="none" w:sz="0" w:space="0" w:color="auto"/>
                            <w:right w:val="none" w:sz="0" w:space="0" w:color="auto"/>
                          </w:divBdr>
                          <w:divsChild>
                            <w:div w:id="15606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390176">
      <w:bodyDiv w:val="1"/>
      <w:marLeft w:val="0"/>
      <w:marRight w:val="0"/>
      <w:marTop w:val="0"/>
      <w:marBottom w:val="0"/>
      <w:divBdr>
        <w:top w:val="none" w:sz="0" w:space="0" w:color="auto"/>
        <w:left w:val="none" w:sz="0" w:space="0" w:color="auto"/>
        <w:bottom w:val="none" w:sz="0" w:space="0" w:color="auto"/>
        <w:right w:val="none" w:sz="0" w:space="0" w:color="auto"/>
      </w:divBdr>
    </w:div>
    <w:div w:id="1711685571">
      <w:bodyDiv w:val="1"/>
      <w:marLeft w:val="0"/>
      <w:marRight w:val="0"/>
      <w:marTop w:val="0"/>
      <w:marBottom w:val="0"/>
      <w:divBdr>
        <w:top w:val="none" w:sz="0" w:space="0" w:color="auto"/>
        <w:left w:val="none" w:sz="0" w:space="0" w:color="auto"/>
        <w:bottom w:val="none" w:sz="0" w:space="0" w:color="auto"/>
        <w:right w:val="none" w:sz="0" w:space="0" w:color="auto"/>
      </w:divBdr>
    </w:div>
    <w:div w:id="1734429268">
      <w:bodyDiv w:val="1"/>
      <w:marLeft w:val="0"/>
      <w:marRight w:val="0"/>
      <w:marTop w:val="0"/>
      <w:marBottom w:val="0"/>
      <w:divBdr>
        <w:top w:val="none" w:sz="0" w:space="0" w:color="auto"/>
        <w:left w:val="none" w:sz="0" w:space="0" w:color="auto"/>
        <w:bottom w:val="none" w:sz="0" w:space="0" w:color="auto"/>
        <w:right w:val="none" w:sz="0" w:space="0" w:color="auto"/>
      </w:divBdr>
      <w:divsChild>
        <w:div w:id="1024789904">
          <w:marLeft w:val="0"/>
          <w:marRight w:val="0"/>
          <w:marTop w:val="0"/>
          <w:marBottom w:val="0"/>
          <w:divBdr>
            <w:top w:val="none" w:sz="0" w:space="0" w:color="auto"/>
            <w:left w:val="none" w:sz="0" w:space="0" w:color="auto"/>
            <w:bottom w:val="none" w:sz="0" w:space="0" w:color="auto"/>
            <w:right w:val="none" w:sz="0" w:space="0" w:color="auto"/>
          </w:divBdr>
          <w:divsChild>
            <w:div w:id="276454701">
              <w:marLeft w:val="0"/>
              <w:marRight w:val="0"/>
              <w:marTop w:val="0"/>
              <w:marBottom w:val="0"/>
              <w:divBdr>
                <w:top w:val="none" w:sz="0" w:space="0" w:color="auto"/>
                <w:left w:val="none" w:sz="0" w:space="0" w:color="auto"/>
                <w:bottom w:val="none" w:sz="0" w:space="0" w:color="auto"/>
                <w:right w:val="none" w:sz="0" w:space="0" w:color="auto"/>
              </w:divBdr>
              <w:divsChild>
                <w:div w:id="754671950">
                  <w:marLeft w:val="0"/>
                  <w:marRight w:val="0"/>
                  <w:marTop w:val="0"/>
                  <w:marBottom w:val="0"/>
                  <w:divBdr>
                    <w:top w:val="none" w:sz="0" w:space="0" w:color="auto"/>
                    <w:left w:val="none" w:sz="0" w:space="0" w:color="auto"/>
                    <w:bottom w:val="none" w:sz="0" w:space="0" w:color="auto"/>
                    <w:right w:val="none" w:sz="0" w:space="0" w:color="auto"/>
                  </w:divBdr>
                  <w:divsChild>
                    <w:div w:id="865943531">
                      <w:marLeft w:val="0"/>
                      <w:marRight w:val="0"/>
                      <w:marTop w:val="0"/>
                      <w:marBottom w:val="0"/>
                      <w:divBdr>
                        <w:top w:val="none" w:sz="0" w:space="0" w:color="auto"/>
                        <w:left w:val="none" w:sz="0" w:space="0" w:color="auto"/>
                        <w:bottom w:val="none" w:sz="0" w:space="0" w:color="auto"/>
                        <w:right w:val="none" w:sz="0" w:space="0" w:color="auto"/>
                      </w:divBdr>
                      <w:divsChild>
                        <w:div w:id="2094082045">
                          <w:marLeft w:val="0"/>
                          <w:marRight w:val="0"/>
                          <w:marTop w:val="0"/>
                          <w:marBottom w:val="0"/>
                          <w:divBdr>
                            <w:top w:val="none" w:sz="0" w:space="0" w:color="auto"/>
                            <w:left w:val="none" w:sz="0" w:space="0" w:color="auto"/>
                            <w:bottom w:val="none" w:sz="0" w:space="0" w:color="auto"/>
                            <w:right w:val="none" w:sz="0" w:space="0" w:color="auto"/>
                          </w:divBdr>
                          <w:divsChild>
                            <w:div w:id="20078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553500">
      <w:bodyDiv w:val="1"/>
      <w:marLeft w:val="0"/>
      <w:marRight w:val="0"/>
      <w:marTop w:val="0"/>
      <w:marBottom w:val="0"/>
      <w:divBdr>
        <w:top w:val="none" w:sz="0" w:space="0" w:color="auto"/>
        <w:left w:val="none" w:sz="0" w:space="0" w:color="auto"/>
        <w:bottom w:val="none" w:sz="0" w:space="0" w:color="auto"/>
        <w:right w:val="none" w:sz="0" w:space="0" w:color="auto"/>
      </w:divBdr>
    </w:div>
    <w:div w:id="1768237218">
      <w:bodyDiv w:val="1"/>
      <w:marLeft w:val="0"/>
      <w:marRight w:val="0"/>
      <w:marTop w:val="0"/>
      <w:marBottom w:val="0"/>
      <w:divBdr>
        <w:top w:val="none" w:sz="0" w:space="0" w:color="auto"/>
        <w:left w:val="none" w:sz="0" w:space="0" w:color="auto"/>
        <w:bottom w:val="none" w:sz="0" w:space="0" w:color="auto"/>
        <w:right w:val="none" w:sz="0" w:space="0" w:color="auto"/>
      </w:divBdr>
    </w:div>
    <w:div w:id="1891571822">
      <w:bodyDiv w:val="1"/>
      <w:marLeft w:val="0"/>
      <w:marRight w:val="0"/>
      <w:marTop w:val="0"/>
      <w:marBottom w:val="0"/>
      <w:divBdr>
        <w:top w:val="none" w:sz="0" w:space="0" w:color="auto"/>
        <w:left w:val="none" w:sz="0" w:space="0" w:color="auto"/>
        <w:bottom w:val="none" w:sz="0" w:space="0" w:color="auto"/>
        <w:right w:val="none" w:sz="0" w:space="0" w:color="auto"/>
      </w:divBdr>
    </w:div>
    <w:div w:id="201707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1191E-C530-7245-909E-631E97DAC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24</Pages>
  <Words>7402</Words>
  <Characters>42195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Mengzhong (SME)</dc:creator>
  <cp:keywords/>
  <dc:description/>
  <cp:lastModifiedBy>#MA MENGZHONG#</cp:lastModifiedBy>
  <cp:revision>46</cp:revision>
  <dcterms:created xsi:type="dcterms:W3CDTF">2022-11-21T23:15:00Z</dcterms:created>
  <dcterms:modified xsi:type="dcterms:W3CDTF">2026-01-20T06:13:00Z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zotero-version="6.0.15"&gt;&lt;session id="TyP8snQH"/&gt;&lt;style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