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658C" w14:textId="1F6487C9" w:rsidR="004F702F" w:rsidRDefault="004F702F" w:rsidP="004F702F">
      <w:pPr>
        <w:jc w:val="left"/>
        <w:rPr>
          <w:b/>
          <w:bCs/>
          <w:sz w:val="32"/>
          <w:szCs w:val="32"/>
          <w:lang w:val="en-US"/>
        </w:rPr>
      </w:pPr>
    </w:p>
    <w:p w14:paraId="65B38627" w14:textId="689F66B4" w:rsidR="002B593B" w:rsidRPr="00EF30E1" w:rsidRDefault="00EB34CE" w:rsidP="00EF30E1">
      <w:pPr>
        <w:jc w:val="center"/>
        <w:rPr>
          <w:b/>
          <w:bCs/>
          <w:sz w:val="32"/>
          <w:szCs w:val="32"/>
          <w:lang w:val="en-US"/>
        </w:rPr>
      </w:pPr>
      <w:r>
        <w:rPr>
          <w:b/>
          <w:bCs/>
          <w:sz w:val="32"/>
          <w:szCs w:val="32"/>
          <w:lang w:val="en-US"/>
        </w:rPr>
        <w:t xml:space="preserve">NTU-Deye </w:t>
      </w:r>
      <w:r w:rsidR="000F0E11">
        <w:rPr>
          <w:rFonts w:hint="eastAsia"/>
          <w:b/>
          <w:bCs/>
          <w:sz w:val="32"/>
          <w:szCs w:val="32"/>
          <w:lang w:val="en-US"/>
        </w:rPr>
        <w:t>合作实验室备忘录</w:t>
      </w:r>
    </w:p>
    <w:p w14:paraId="1C76B4B7" w14:textId="47FF6307" w:rsidR="003E3B62" w:rsidRDefault="003E3B62" w:rsidP="003E3B62">
      <w:pPr>
        <w:pStyle w:val="Heading1"/>
        <w:rPr>
          <w:rFonts w:hint="eastAsia"/>
        </w:rPr>
      </w:pPr>
      <w:r>
        <w:t xml:space="preserve">1. </w:t>
      </w:r>
      <w:r w:rsidR="000F0E11">
        <w:rPr>
          <w:rFonts w:hint="eastAsia"/>
        </w:rPr>
        <w:t>引言</w:t>
      </w:r>
    </w:p>
    <w:p w14:paraId="2C4F9E2F" w14:textId="7EFF0B6F" w:rsidR="000F0E11" w:rsidRPr="000F0E11" w:rsidRDefault="000F0E11" w:rsidP="000F0E11">
      <w:pPr>
        <w:pStyle w:val="Heading2"/>
        <w:rPr>
          <w:b w:val="0"/>
          <w:bCs/>
          <w:lang w:val="en"/>
        </w:rPr>
      </w:pPr>
      <w:r w:rsidRPr="000F0E11">
        <w:rPr>
          <w:rFonts w:hint="eastAsia"/>
          <w:b w:val="0"/>
          <w:bCs/>
          <w:lang w:val="en"/>
        </w:rPr>
        <w:t>在向可持续能源过渡的进程中，</w:t>
      </w:r>
      <w:r w:rsidRPr="000F0E11">
        <w:rPr>
          <w:b w:val="0"/>
          <w:bCs/>
          <w:lang w:val="en"/>
        </w:rPr>
        <w:t>Deye</w:t>
      </w:r>
      <w:r w:rsidRPr="000F0E11">
        <w:rPr>
          <w:rFonts w:hint="eastAsia"/>
          <w:b w:val="0"/>
          <w:bCs/>
          <w:lang w:val="en"/>
        </w:rPr>
        <w:t>（德业公司，作为光伏逆变器和储能解决方案的领先提供商）希望强化其现有的基于人工智能的电力系统，并引入绿色能源资产去中心化框架。这一自上而下的愿景源于</w:t>
      </w:r>
      <w:r w:rsidRPr="000F0E11">
        <w:rPr>
          <w:rFonts w:hint="eastAsia"/>
          <w:b w:val="0"/>
          <w:bCs/>
          <w:lang w:val="en"/>
        </w:rPr>
        <w:t>Deye</w:t>
      </w:r>
      <w:r w:rsidRPr="000F0E11">
        <w:rPr>
          <w:rFonts w:hint="eastAsia"/>
          <w:b w:val="0"/>
          <w:bCs/>
          <w:lang w:val="en"/>
        </w:rPr>
        <w:t>的实际需求：利用人工智能优化能源管理，同时运用区块链技术实现绿色能源资产的去中心化和通证化。通过将人工智能驱动的能源管理系统与基于区块链的实物资产</w:t>
      </w:r>
      <w:r w:rsidRPr="000F0E11">
        <w:rPr>
          <w:b w:val="0"/>
          <w:bCs/>
          <w:lang w:val="en"/>
        </w:rPr>
        <w:t xml:space="preserve"> (RWA) </w:t>
      </w:r>
      <w:r w:rsidRPr="000F0E11">
        <w:rPr>
          <w:rFonts w:hint="eastAsia"/>
          <w:b w:val="0"/>
          <w:bCs/>
          <w:lang w:val="en"/>
        </w:rPr>
        <w:t>平台相结合，</w:t>
      </w:r>
      <w:r w:rsidRPr="000F0E11">
        <w:rPr>
          <w:rFonts w:hint="eastAsia"/>
          <w:b w:val="0"/>
          <w:bCs/>
          <w:lang w:val="en"/>
        </w:rPr>
        <w:t>德业</w:t>
      </w:r>
      <w:r w:rsidRPr="000F0E11">
        <w:rPr>
          <w:rFonts w:hint="eastAsia"/>
          <w:b w:val="0"/>
          <w:bCs/>
          <w:lang w:val="en"/>
        </w:rPr>
        <w:t>力求最大化可再生能源的利用率，提高产消者的收益，并让更广泛的群体参与清洁能源市场。</w:t>
      </w:r>
    </w:p>
    <w:p w14:paraId="07859DFC" w14:textId="3F61B003" w:rsidR="000F0E11" w:rsidRDefault="000F0E11" w:rsidP="000F0E11">
      <w:pPr>
        <w:pStyle w:val="Heading2"/>
        <w:rPr>
          <w:b w:val="0"/>
          <w:bCs/>
          <w:lang w:val="en"/>
        </w:rPr>
      </w:pPr>
      <w:r w:rsidRPr="000F0E11">
        <w:rPr>
          <w:rFonts w:hint="eastAsia"/>
          <w:b w:val="0"/>
          <w:bCs/>
          <w:lang w:val="en"/>
        </w:rPr>
        <w:t xml:space="preserve">        </w:t>
      </w:r>
      <w:r w:rsidRPr="000F0E11">
        <w:rPr>
          <w:rFonts w:hint="eastAsia"/>
          <w:b w:val="0"/>
          <w:bCs/>
          <w:lang w:val="en"/>
        </w:rPr>
        <w:t>为实现这一目标，我们首先概述</w:t>
      </w:r>
      <w:r w:rsidRPr="000F0E11">
        <w:rPr>
          <w:rFonts w:hint="eastAsia"/>
          <w:b w:val="0"/>
          <w:bCs/>
          <w:lang w:val="en"/>
        </w:rPr>
        <w:t>德业</w:t>
      </w:r>
      <w:r w:rsidRPr="000F0E11">
        <w:rPr>
          <w:rFonts w:hint="eastAsia"/>
          <w:b w:val="0"/>
          <w:bCs/>
          <w:lang w:val="en"/>
        </w:rPr>
        <w:t>人工智能系统（即</w:t>
      </w:r>
      <w:r w:rsidRPr="000F0E11">
        <w:rPr>
          <w:b w:val="0"/>
          <w:bCs/>
          <w:lang w:val="en"/>
        </w:rPr>
        <w:t>Deye Copilot</w:t>
      </w:r>
      <w:r w:rsidRPr="000F0E11">
        <w:rPr>
          <w:rFonts w:hint="eastAsia"/>
          <w:b w:val="0"/>
          <w:bCs/>
          <w:lang w:val="en"/>
        </w:rPr>
        <w:t>）的现状，其次描述去中心化绿色能源资产系统（</w:t>
      </w:r>
      <w:r w:rsidRPr="000F0E11">
        <w:rPr>
          <w:rFonts w:hint="eastAsia"/>
          <w:b w:val="0"/>
          <w:bCs/>
          <w:lang w:val="en"/>
        </w:rPr>
        <w:t>RWA</w:t>
      </w:r>
      <w:r w:rsidRPr="000F0E11">
        <w:rPr>
          <w:rFonts w:hint="eastAsia"/>
          <w:b w:val="0"/>
          <w:bCs/>
          <w:lang w:val="en"/>
        </w:rPr>
        <w:t>系统）的整体结构，最后梳理两个领域中存在的主要挑战，并据此提出针对性的研究方向（工作计划，</w:t>
      </w:r>
      <w:r w:rsidRPr="000F0E11">
        <w:rPr>
          <w:rFonts w:hint="eastAsia"/>
          <w:b w:val="0"/>
          <w:bCs/>
          <w:lang w:val="en"/>
        </w:rPr>
        <w:t>Work</w:t>
      </w:r>
      <w:r w:rsidRPr="000F0E11">
        <w:rPr>
          <w:b w:val="0"/>
          <w:bCs/>
          <w:lang w:val="en"/>
        </w:rPr>
        <w:t xml:space="preserve"> </w:t>
      </w:r>
      <w:r w:rsidRPr="000F0E11">
        <w:rPr>
          <w:rFonts w:hint="eastAsia"/>
          <w:b w:val="0"/>
          <w:bCs/>
          <w:lang w:val="en"/>
        </w:rPr>
        <w:t>Packages</w:t>
      </w:r>
      <w:r w:rsidRPr="000F0E11">
        <w:rPr>
          <w:rFonts w:hint="eastAsia"/>
          <w:b w:val="0"/>
          <w:bCs/>
          <w:lang w:val="en"/>
        </w:rPr>
        <w:t>）。这种结构化方案从宏观需求出发，逐层细化至具体的研究问题，提供了一条从高层愿景到实施细节的清晰路径。</w:t>
      </w:r>
    </w:p>
    <w:p w14:paraId="703E8714" w14:textId="2D0C2664" w:rsidR="000F0E11" w:rsidRPr="000F0E11" w:rsidRDefault="000F0E11" w:rsidP="000F0E11">
      <w:pPr>
        <w:pStyle w:val="Heading2"/>
        <w:rPr>
          <w:rFonts w:eastAsia="Times New Roman" w:hint="eastAsia"/>
          <w:lang w:val="en"/>
        </w:rPr>
      </w:pPr>
      <w:r>
        <w:t>1.1</w:t>
      </w:r>
      <w:r w:rsidRPr="000F0E11">
        <w:rPr>
          <w:rFonts w:asciiTheme="minorEastAsia" w:eastAsiaTheme="minorEastAsia" w:hAnsiTheme="minorEastAsia"/>
        </w:rPr>
        <w:t xml:space="preserve">. </w:t>
      </w:r>
      <w:r w:rsidRPr="000F0E11">
        <w:rPr>
          <w:rFonts w:asciiTheme="minorEastAsia" w:eastAsiaTheme="minorEastAsia" w:hAnsiTheme="minorEastAsia"/>
          <w:lang w:val="en"/>
        </w:rPr>
        <w:t xml:space="preserve">Deye Copilot </w:t>
      </w:r>
      <w:r w:rsidRPr="000F0E11">
        <w:rPr>
          <w:rFonts w:asciiTheme="minorEastAsia" w:eastAsiaTheme="minorEastAsia" w:hAnsiTheme="minorEastAsia" w:hint="eastAsia"/>
          <w:lang w:val="en"/>
        </w:rPr>
        <w:t>的现状：进展与挑战</w:t>
      </w:r>
    </w:p>
    <w:p w14:paraId="5C14021A" w14:textId="2C588464" w:rsidR="000F0E11" w:rsidRDefault="00D052EB" w:rsidP="000F0E11">
      <w:pPr>
        <w:rPr>
          <w:rFonts w:asciiTheme="majorEastAsia" w:eastAsiaTheme="majorEastAsia" w:hAnsiTheme="majorEastAsia"/>
          <w:lang w:val="en"/>
        </w:rPr>
      </w:pPr>
      <w:r>
        <w:rPr>
          <w:rFonts w:asciiTheme="majorEastAsia" w:eastAsiaTheme="majorEastAsia" w:hAnsiTheme="majorEastAsia" w:hint="eastAsia"/>
          <w:lang w:val="en"/>
        </w:rPr>
        <w:t>德业</w:t>
      </w:r>
      <w:r w:rsidR="000F0E11" w:rsidRPr="000F0E11">
        <w:rPr>
          <w:rFonts w:asciiTheme="majorEastAsia" w:eastAsiaTheme="majorEastAsia" w:hAnsiTheme="majorEastAsia" w:hint="eastAsia"/>
          <w:lang w:val="en"/>
        </w:rPr>
        <w:t>开发了智能能源管理系统“Copilot”（副驾），充当其逆变器的AI“副驾驶”。该系统最初在澳大利亚推出，如今已部署于多个全球市场，它将基于人工智能的核心算法（“能源管家”Energy</w:t>
      </w:r>
      <w:r w:rsidR="000F0E11" w:rsidRPr="000F0E11">
        <w:rPr>
          <w:rFonts w:asciiTheme="majorEastAsia" w:eastAsiaTheme="majorEastAsia" w:hAnsiTheme="majorEastAsia"/>
          <w:lang w:val="en"/>
        </w:rPr>
        <w:t xml:space="preserve"> </w:t>
      </w:r>
      <w:r w:rsidR="000F0E11" w:rsidRPr="000F0E11">
        <w:rPr>
          <w:rFonts w:asciiTheme="majorEastAsia" w:eastAsiaTheme="majorEastAsia" w:hAnsiTheme="majorEastAsia" w:hint="eastAsia"/>
          <w:lang w:val="en"/>
        </w:rPr>
        <w:t>Saver）与云端虚拟电厂(VPP)网络融合在一个平台上</w:t>
      </w:r>
      <w:r w:rsidR="000F0E11" w:rsidRPr="000F0E11">
        <w:rPr>
          <w:rFonts w:asciiTheme="majorEastAsia" w:eastAsiaTheme="majorEastAsia" w:hAnsiTheme="majorEastAsia"/>
          <w:lang w:val="en"/>
        </w:rPr>
        <w:fldChar w:fldCharType="begin"/>
      </w:r>
      <w:r w:rsidR="000F0E11" w:rsidRPr="000F0E11">
        <w:rPr>
          <w:rFonts w:asciiTheme="majorEastAsia" w:eastAsiaTheme="majorEastAsia" w:hAnsiTheme="majorEastAsia"/>
          <w:lang w:val="en"/>
        </w:rPr>
        <w:instrText xml:space="preserve"> ADDIN ZOTERO_ITEM CSL_CITATION {"citationID":"kfCcgSs5","properties":{"formattedCitation":"[1]","plainCitation":"[1]","noteIndex":0},"citationItems":[{"id":6026,"uris":["http://zotero.org/users/7945676/items/SWYUDHHM"],"itemData":{"id":6026,"type":"webpage","abstract":"With the Australian solar-plus-storage prosumers’ energy independence and revenue generation in focus, Ningbo Deye Technology Co., Ltd., a provider of PV invert","container-title":"TaiyangNews - All About Solar Power","language":"en","title":"Deye Launches AI-powered ‘Deye Copilot’ For Australia","URL":"https://taiyangnews.info/technology/deye-technologies-copilot-ai-virtual-assistant-australia","author":[{"family":"Sengupta","given":"Rajarshi"}],"accessed":{"date-parts":[["2026",1,28]]},"issued":{"date-parts":[["2025",11,10]]}}}],"schema":"https://github.com/citation-style-language/schema/raw/master/csl-citation.json"} </w:instrText>
      </w:r>
      <w:r w:rsidR="000F0E11" w:rsidRPr="000F0E11">
        <w:rPr>
          <w:rFonts w:asciiTheme="majorEastAsia" w:eastAsiaTheme="majorEastAsia" w:hAnsiTheme="majorEastAsia"/>
          <w:lang w:val="en"/>
        </w:rPr>
        <w:fldChar w:fldCharType="separate"/>
      </w:r>
      <w:r w:rsidR="000F0E11" w:rsidRPr="000F0E11">
        <w:rPr>
          <w:rFonts w:asciiTheme="majorEastAsia" w:eastAsiaTheme="majorEastAsia" w:hAnsiTheme="majorEastAsia"/>
          <w:lang w:val="en"/>
        </w:rPr>
        <w:t>[1]</w:t>
      </w:r>
      <w:r w:rsidR="000F0E11" w:rsidRPr="000F0E11">
        <w:rPr>
          <w:rFonts w:asciiTheme="majorEastAsia" w:eastAsiaTheme="majorEastAsia" w:hAnsiTheme="majorEastAsia"/>
          <w:lang w:val="en"/>
        </w:rPr>
        <w:fldChar w:fldCharType="end"/>
      </w:r>
      <w:r w:rsidR="000F0E11" w:rsidRPr="000F0E11">
        <w:rPr>
          <w:rFonts w:asciiTheme="majorEastAsia" w:eastAsiaTheme="majorEastAsia" w:hAnsiTheme="majorEastAsia" w:hint="eastAsia"/>
          <w:lang w:val="en"/>
        </w:rPr>
        <w:t>。Copilot能够根据实时电价、天气预报、负载需求预测、电池健康状态等数据动态优化电池充放电策略</w:t>
      </w:r>
      <w:r w:rsidR="000F0E11" w:rsidRPr="000F0E11">
        <w:rPr>
          <w:rFonts w:asciiTheme="majorEastAsia" w:eastAsiaTheme="majorEastAsia" w:hAnsiTheme="majorEastAsia"/>
          <w:lang w:val="en"/>
        </w:rPr>
        <w:t xml:space="preserve"> </w:t>
      </w:r>
      <w:r w:rsidR="000F0E11" w:rsidRPr="000F0E11">
        <w:rPr>
          <w:rFonts w:asciiTheme="majorEastAsia" w:eastAsiaTheme="majorEastAsia" w:hAnsiTheme="majorEastAsia"/>
          <w:lang w:val="en"/>
        </w:rPr>
        <w:fldChar w:fldCharType="begin"/>
      </w:r>
      <w:r w:rsidR="000F0E11" w:rsidRPr="000F0E11">
        <w:rPr>
          <w:rFonts w:asciiTheme="majorEastAsia" w:eastAsiaTheme="majorEastAsia" w:hAnsiTheme="majorEastAsia"/>
          <w:lang w:val="en"/>
        </w:rPr>
        <w:instrText xml:space="preserve"> ADDIN ZOTERO_ITEM CSL_CITATION {"citationID":"1RHlsJIZ","properties":{"formattedCitation":"[2]","plainCitation":"[2]","noteIndex":0},"citationItems":[{"id":6028,"uris":["http://zotero.org/users/7945676/items/UIRDDPEN"],"itemData":{"id":6028,"type":"post-weblog","abstract":"According to the latest research from Modo Energy, revenues from battery energy storage in Australia’s NEM fluctuated dramatically in 2025.","container-title":"pv magazine International","language":"en-US","title":"“Deye Copilot”: AI-Driven “Energy Saver” Builds a Multi-Layered Revenue Model for Energy Storage","title-short":"“Deye Copilot”","URL":"https://www.pv-magazine.com/press-releases/deye-copilot-ai-driven-energy-saver-builds-a-multi-layered-revenue-model-for-energy-storage/","author":[{"family":"magazine","given":"pv"}],"accessed":{"date-parts":[["2026",1,28]]},"issued":{"date-parts":[["2025",11,4]]}}}],"schema":"https://github.com/citation-style-language/schema/raw/master/csl-citation.json"} </w:instrText>
      </w:r>
      <w:r w:rsidR="000F0E11" w:rsidRPr="000F0E11">
        <w:rPr>
          <w:rFonts w:asciiTheme="majorEastAsia" w:eastAsiaTheme="majorEastAsia" w:hAnsiTheme="majorEastAsia"/>
          <w:lang w:val="en"/>
        </w:rPr>
        <w:fldChar w:fldCharType="separate"/>
      </w:r>
      <w:r w:rsidR="000F0E11" w:rsidRPr="000F0E11">
        <w:rPr>
          <w:rFonts w:asciiTheme="majorEastAsia" w:eastAsiaTheme="majorEastAsia" w:hAnsiTheme="majorEastAsia"/>
          <w:lang w:val="en"/>
        </w:rPr>
        <w:t>[2]</w:t>
      </w:r>
      <w:r w:rsidR="000F0E11" w:rsidRPr="000F0E11">
        <w:rPr>
          <w:rFonts w:asciiTheme="majorEastAsia" w:eastAsiaTheme="majorEastAsia" w:hAnsiTheme="majorEastAsia"/>
          <w:lang w:val="en"/>
        </w:rPr>
        <w:fldChar w:fldCharType="end"/>
      </w:r>
      <w:r w:rsidR="000F0E11" w:rsidRPr="000F0E11">
        <w:rPr>
          <w:rFonts w:asciiTheme="majorEastAsia" w:eastAsiaTheme="majorEastAsia" w:hAnsiTheme="majorEastAsia" w:hint="eastAsia"/>
          <w:lang w:val="en"/>
        </w:rPr>
        <w:t>。</w:t>
      </w:r>
      <w:r w:rsidR="000F0E11" w:rsidRPr="000F0E11">
        <w:rPr>
          <w:rFonts w:asciiTheme="majorEastAsia" w:eastAsiaTheme="majorEastAsia" w:hAnsiTheme="majorEastAsia"/>
          <w:lang w:val="en"/>
        </w:rPr>
        <w:t xml:space="preserve"> </w:t>
      </w:r>
      <w:r w:rsidR="000F0E11" w:rsidRPr="000F0E11">
        <w:rPr>
          <w:rFonts w:asciiTheme="majorEastAsia" w:eastAsiaTheme="majorEastAsia" w:hAnsiTheme="majorEastAsia" w:hint="eastAsia"/>
          <w:lang w:val="en"/>
        </w:rPr>
        <w:t>Copilot能够根据实时电价、天气预报、负载需求预测、电池健康状态等数据动态优化电池充放电策略</w:t>
      </w:r>
      <w:r w:rsidR="000F0E11" w:rsidRPr="000F0E11">
        <w:rPr>
          <w:rFonts w:asciiTheme="majorEastAsia" w:eastAsiaTheme="majorEastAsia" w:hAnsiTheme="majorEastAsia"/>
          <w:lang w:val="en"/>
        </w:rPr>
        <w:t xml:space="preserve"> </w:t>
      </w:r>
      <w:r w:rsidR="000F0E11" w:rsidRPr="000F0E11">
        <w:rPr>
          <w:rFonts w:asciiTheme="majorEastAsia" w:eastAsiaTheme="majorEastAsia" w:hAnsiTheme="majorEastAsia"/>
          <w:lang w:val="en"/>
        </w:rPr>
        <w:fldChar w:fldCharType="begin"/>
      </w:r>
      <w:r w:rsidR="000F0E11" w:rsidRPr="000F0E11">
        <w:rPr>
          <w:rFonts w:asciiTheme="majorEastAsia" w:eastAsiaTheme="majorEastAsia" w:hAnsiTheme="majorEastAsia"/>
          <w:lang w:val="en"/>
        </w:rPr>
        <w:instrText xml:space="preserve"> ADDIN ZOTERO_ITEM CSL_CITATION {"citationID":"HwjSGEKe","properties":{"formattedCitation":"[2]","plainCitation":"[2]","noteIndex":0},"citationItems":[{"id":6028,"uris":["http://zotero.org/users/7945676/items/UIRDDPEN"],"itemData":{"id":6028,"type":"post-weblog","abstract":"According to the latest research from Modo Energy, revenues from battery energy storage in Australia’s NEM fluctuated dramatically in 2025.","container-title":"pv magazine International","language":"en-US","title":"“Deye Copilot”: AI-Driven “Energy Saver” Builds a Multi-Layered Revenue Model for Energy Storage","title-short":"“Deye Copilot”","URL":"https://www.pv-magazine.com/press-releases/deye-copilot-ai-driven-energy-saver-builds-a-multi-layered-revenue-model-for-energy-storage/","author":[{"family":"magazine","given":"pv"}],"accessed":{"date-parts":[["2026",1,28]]},"issued":{"date-parts":[["2025",11,4]]}}}],"schema":"https://github.com/citation-style-language/schema/raw/master/csl-citation.json"} </w:instrText>
      </w:r>
      <w:r w:rsidR="000F0E11" w:rsidRPr="000F0E11">
        <w:rPr>
          <w:rFonts w:asciiTheme="majorEastAsia" w:eastAsiaTheme="majorEastAsia" w:hAnsiTheme="majorEastAsia"/>
          <w:lang w:val="en"/>
        </w:rPr>
        <w:fldChar w:fldCharType="separate"/>
      </w:r>
      <w:r w:rsidR="000F0E11" w:rsidRPr="000F0E11">
        <w:rPr>
          <w:rFonts w:asciiTheme="majorEastAsia" w:eastAsiaTheme="majorEastAsia" w:hAnsiTheme="majorEastAsia"/>
          <w:lang w:val="en"/>
        </w:rPr>
        <w:t>[2]</w:t>
      </w:r>
      <w:r w:rsidR="000F0E11" w:rsidRPr="000F0E11">
        <w:rPr>
          <w:rFonts w:asciiTheme="majorEastAsia" w:eastAsiaTheme="majorEastAsia" w:hAnsiTheme="majorEastAsia"/>
          <w:lang w:val="en"/>
        </w:rPr>
        <w:fldChar w:fldCharType="end"/>
      </w:r>
      <w:r w:rsidR="000F0E11" w:rsidRPr="000F0E11">
        <w:rPr>
          <w:rFonts w:asciiTheme="majorEastAsia" w:eastAsiaTheme="majorEastAsia" w:hAnsiTheme="majorEastAsia" w:hint="eastAsia"/>
          <w:lang w:val="en"/>
        </w:rPr>
        <w:t>。实践证明，Copilot带来了可观效益：例如，某用户的光储系统（23</w:t>
      </w:r>
      <w:r w:rsidR="000F0E11" w:rsidRPr="000F0E11">
        <w:rPr>
          <w:rFonts w:asciiTheme="majorEastAsia" w:eastAsiaTheme="majorEastAsia" w:hAnsiTheme="majorEastAsia"/>
          <w:lang w:val="en"/>
        </w:rPr>
        <w:t> </w:t>
      </w:r>
      <w:r w:rsidR="000F0E11" w:rsidRPr="000F0E11">
        <w:rPr>
          <w:rFonts w:asciiTheme="majorEastAsia" w:eastAsiaTheme="majorEastAsia" w:hAnsiTheme="majorEastAsia" w:hint="eastAsia"/>
          <w:lang w:val="en"/>
        </w:rPr>
        <w:t>kW光伏+40</w:t>
      </w:r>
      <w:r w:rsidR="000F0E11" w:rsidRPr="000F0E11">
        <w:rPr>
          <w:rFonts w:asciiTheme="majorEastAsia" w:eastAsiaTheme="majorEastAsia" w:hAnsiTheme="majorEastAsia"/>
          <w:lang w:val="en"/>
        </w:rPr>
        <w:t> </w:t>
      </w:r>
      <w:r w:rsidR="000F0E11" w:rsidRPr="000F0E11">
        <w:rPr>
          <w:rFonts w:asciiTheme="majorEastAsia" w:eastAsiaTheme="majorEastAsia" w:hAnsiTheme="majorEastAsia" w:hint="eastAsia"/>
          <w:lang w:val="en"/>
        </w:rPr>
        <w:t>kWh电池）在启用Copilot后，月均收益增加约80澳元，系统投资回收期由约7.6年缩短至5.6年</w:t>
      </w:r>
      <w:r w:rsidR="000F0E11" w:rsidRPr="000F0E11">
        <w:rPr>
          <w:rFonts w:asciiTheme="majorEastAsia" w:eastAsiaTheme="majorEastAsia" w:hAnsiTheme="majorEastAsia"/>
          <w:lang w:val="en"/>
        </w:rPr>
        <w:t xml:space="preserve"> </w:t>
      </w:r>
      <w:r w:rsidR="000F0E11" w:rsidRPr="000F0E11">
        <w:rPr>
          <w:rFonts w:asciiTheme="majorEastAsia" w:eastAsiaTheme="majorEastAsia" w:hAnsiTheme="majorEastAsia"/>
          <w:lang w:val="en"/>
        </w:rPr>
        <w:fldChar w:fldCharType="begin"/>
      </w:r>
      <w:r w:rsidR="000F0E11" w:rsidRPr="000F0E11">
        <w:rPr>
          <w:rFonts w:asciiTheme="majorEastAsia" w:eastAsiaTheme="majorEastAsia" w:hAnsiTheme="majorEastAsia"/>
          <w:lang w:val="en"/>
        </w:rPr>
        <w:instrText xml:space="preserve"> ADDIN ZOTERO_ITEM CSL_CITATION {"citationID":"awGeJHm2","properties":{"formattedCitation":"[2]","plainCitation":"[2]","noteIndex":0},"citationItems":[{"id":6028,"uris":["http://zotero.org/users/7945676/items/UIRDDPEN"],"itemData":{"id":6028,"type":"post-weblog","abstract":"According to the latest research from Modo Energy, revenues from battery energy storage in Australia’s NEM fluctuated dramatically in 2025.","container-title":"pv magazine International","language":"en-US","title":"“Deye Copilot”: AI-Driven “Energy Saver” Builds a Multi-Layered Revenue Model for Energy Storage","title-short":"“Deye Copilot”","URL":"https://www.pv-magazine.com/press-releases/deye-copilot-ai-driven-energy-saver-builds-a-multi-layered-revenue-model-for-energy-storage/","author":[{"family":"magazine","given":"pv"}],"accessed":{"date-parts":[["2026",1,28]]},"issued":{"date-parts":[["2025",11,4]]}}}],"schema":"https://github.com/citation-style-language/schema/raw/master/csl-citation.json"} </w:instrText>
      </w:r>
      <w:r w:rsidR="000F0E11" w:rsidRPr="000F0E11">
        <w:rPr>
          <w:rFonts w:asciiTheme="majorEastAsia" w:eastAsiaTheme="majorEastAsia" w:hAnsiTheme="majorEastAsia"/>
          <w:lang w:val="en"/>
        </w:rPr>
        <w:fldChar w:fldCharType="separate"/>
      </w:r>
      <w:r w:rsidR="000F0E11" w:rsidRPr="000F0E11">
        <w:rPr>
          <w:rFonts w:asciiTheme="majorEastAsia" w:eastAsiaTheme="majorEastAsia" w:hAnsiTheme="majorEastAsia"/>
          <w:lang w:val="en"/>
        </w:rPr>
        <w:t>[2]</w:t>
      </w:r>
      <w:r w:rsidR="000F0E11" w:rsidRPr="000F0E11">
        <w:rPr>
          <w:rFonts w:asciiTheme="majorEastAsia" w:eastAsiaTheme="majorEastAsia" w:hAnsiTheme="majorEastAsia"/>
          <w:lang w:val="en"/>
        </w:rPr>
        <w:fldChar w:fldCharType="end"/>
      </w:r>
      <w:r w:rsidR="000F0E11" w:rsidRPr="000F0E11">
        <w:rPr>
          <w:rFonts w:asciiTheme="majorEastAsia" w:eastAsiaTheme="majorEastAsia" w:hAnsiTheme="majorEastAsia" w:hint="eastAsia"/>
          <w:lang w:val="en"/>
        </w:rPr>
        <w:t>。</w:t>
      </w:r>
      <w:r w:rsidR="000F0E11" w:rsidRPr="000F0E11">
        <w:rPr>
          <w:rFonts w:asciiTheme="majorEastAsia" w:eastAsiaTheme="majorEastAsia" w:hAnsiTheme="majorEastAsia"/>
          <w:lang w:val="en"/>
        </w:rPr>
        <w:t xml:space="preserve"> </w:t>
      </w:r>
      <w:r w:rsidR="000F0E11" w:rsidRPr="000F0E11">
        <w:rPr>
          <w:rFonts w:asciiTheme="majorEastAsia" w:eastAsiaTheme="majorEastAsia" w:hAnsiTheme="majorEastAsia" w:hint="eastAsia"/>
          <w:lang w:val="en"/>
        </w:rPr>
        <w:t>本质上，Copilot建立了“基础收益+增值收益”两层收入模型：除电价套利获得的基础收益外，用户通过参与更多电网服务获取附加价值。</w:t>
      </w:r>
    </w:p>
    <w:p w14:paraId="57CBB9EC" w14:textId="57D4C990" w:rsidR="00D052EB" w:rsidRDefault="00D052EB" w:rsidP="00D052EB">
      <w:pPr>
        <w:rPr>
          <w:rFonts w:asciiTheme="majorEastAsia" w:eastAsiaTheme="majorEastAsia" w:hAnsiTheme="majorEastAsia"/>
          <w:lang w:val="en"/>
        </w:rPr>
      </w:pPr>
      <w:r>
        <w:rPr>
          <w:rFonts w:asciiTheme="majorEastAsia" w:eastAsiaTheme="majorEastAsia" w:hAnsiTheme="majorEastAsia" w:hint="eastAsia"/>
          <w:lang w:val="en"/>
        </w:rPr>
        <w:lastRenderedPageBreak/>
        <w:t xml:space="preserve">        </w:t>
      </w:r>
      <w:r w:rsidRPr="00D052EB">
        <w:rPr>
          <w:rFonts w:asciiTheme="majorEastAsia" w:eastAsiaTheme="majorEastAsia" w:hAnsiTheme="majorEastAsia" w:hint="eastAsia"/>
          <w:lang w:val="en"/>
        </w:rPr>
        <w:t>在云端平台方面，Deye</w:t>
      </w:r>
      <w:r w:rsidRPr="00D052EB">
        <w:rPr>
          <w:rFonts w:asciiTheme="majorEastAsia" w:eastAsiaTheme="majorEastAsia" w:hAnsiTheme="majorEastAsia"/>
          <w:lang w:val="en"/>
        </w:rPr>
        <w:t xml:space="preserve"> </w:t>
      </w:r>
      <w:r w:rsidRPr="00D052EB">
        <w:rPr>
          <w:rFonts w:asciiTheme="majorEastAsia" w:eastAsiaTheme="majorEastAsia" w:hAnsiTheme="majorEastAsia" w:hint="eastAsia"/>
          <w:lang w:val="en"/>
        </w:rPr>
        <w:t>Copilot已对接多个虚拟电厂运营商（如</w:t>
      </w:r>
      <w:proofErr w:type="spellStart"/>
      <w:r w:rsidRPr="00D052EB">
        <w:rPr>
          <w:rFonts w:asciiTheme="majorEastAsia" w:eastAsiaTheme="majorEastAsia" w:hAnsiTheme="majorEastAsia" w:hint="eastAsia"/>
          <w:lang w:val="en"/>
        </w:rPr>
        <w:t>Evergen</w:t>
      </w:r>
      <w:proofErr w:type="spellEnd"/>
      <w:r w:rsidRPr="00D052EB">
        <w:rPr>
          <w:rFonts w:asciiTheme="majorEastAsia" w:eastAsiaTheme="majorEastAsia" w:hAnsiTheme="majorEastAsia" w:hint="eastAsia"/>
          <w:lang w:val="en"/>
        </w:rPr>
        <w:t>、</w:t>
      </w:r>
      <w:proofErr w:type="spellStart"/>
      <w:r w:rsidRPr="00D052EB">
        <w:rPr>
          <w:rFonts w:asciiTheme="majorEastAsia" w:eastAsiaTheme="majorEastAsia" w:hAnsiTheme="majorEastAsia" w:hint="eastAsia"/>
          <w:lang w:val="en"/>
        </w:rPr>
        <w:t>Greensync</w:t>
      </w:r>
      <w:proofErr w:type="spellEnd"/>
      <w:r w:rsidRPr="00D052EB">
        <w:rPr>
          <w:rFonts w:asciiTheme="majorEastAsia" w:eastAsiaTheme="majorEastAsia" w:hAnsiTheme="majorEastAsia" w:hint="eastAsia"/>
          <w:lang w:val="en"/>
        </w:rPr>
        <w:t>、Termina、Amber等），将分布式能源资源聚合参与电力市场服务。借助这一“VPP网络”，用户能够将富余能源投向辅助服务市场（如频率调节）或绿色证书交易，进一步货币化闲置的清洁能源。这体现了储能商业模式从传统单一市场利用向多层次价值叠加的转变。Copilot实质上充当智能调度枢纽，在满足本地用能的同时，将剩余电能通过开放的接口输送至外部市场——Deye将这一机制形象地称为“VPP超市”，用户可灵活选择如何处置自己的能源资产</w:t>
      </w:r>
      <w:r w:rsidRPr="00D052EB">
        <w:rPr>
          <w:rFonts w:asciiTheme="majorEastAsia" w:eastAsiaTheme="majorEastAsia" w:hAnsiTheme="majorEastAsia"/>
          <w:lang w:val="en"/>
        </w:rPr>
        <w:t>。</w:t>
      </w:r>
    </w:p>
    <w:p w14:paraId="679F81DB" w14:textId="38077405" w:rsidR="00D052EB" w:rsidRDefault="00D052EB" w:rsidP="00D052EB">
      <w:pPr>
        <w:rPr>
          <w:rFonts w:asciiTheme="majorEastAsia" w:eastAsiaTheme="majorEastAsia" w:hAnsiTheme="majorEastAsia"/>
          <w:lang w:val="en"/>
        </w:rPr>
      </w:pPr>
      <w:r>
        <w:rPr>
          <w:rFonts w:asciiTheme="majorEastAsia" w:eastAsiaTheme="majorEastAsia" w:hAnsiTheme="majorEastAsia" w:hint="eastAsia"/>
          <w:lang w:val="en"/>
        </w:rPr>
        <w:t xml:space="preserve">        </w:t>
      </w:r>
      <w:r w:rsidRPr="00D052EB">
        <w:rPr>
          <w:rFonts w:asciiTheme="majorEastAsia" w:eastAsiaTheme="majorEastAsia" w:hAnsiTheme="majorEastAsia" w:hint="eastAsia"/>
          <w:lang w:val="en"/>
        </w:rPr>
        <w:t>尽管取得了上述进展，Copilot要完全发挥潜力仍面临若干问题与挑战，需要进一步解决</w:t>
      </w:r>
      <w:r>
        <w:rPr>
          <w:rFonts w:asciiTheme="majorEastAsia" w:eastAsiaTheme="majorEastAsia" w:hAnsiTheme="majorEastAsia" w:hint="eastAsia"/>
          <w:lang w:val="en"/>
        </w:rPr>
        <w:t>：</w:t>
      </w:r>
    </w:p>
    <w:p w14:paraId="0C6F842B" w14:textId="31864CF6" w:rsidR="00D052EB" w:rsidRDefault="00D052EB" w:rsidP="00D052EB">
      <w:pPr>
        <w:pStyle w:val="ListParagraph"/>
        <w:numPr>
          <w:ilvl w:val="0"/>
          <w:numId w:val="18"/>
        </w:numPr>
        <w:rPr>
          <w:rFonts w:asciiTheme="majorEastAsia" w:eastAsiaTheme="majorEastAsia" w:hAnsiTheme="majorEastAsia"/>
          <w:lang w:val="en"/>
        </w:rPr>
      </w:pPr>
      <w:r w:rsidRPr="00D052EB">
        <w:rPr>
          <w:rFonts w:asciiTheme="majorEastAsia" w:eastAsiaTheme="majorEastAsia" w:hAnsiTheme="majorEastAsia" w:hint="eastAsia"/>
          <w:lang w:val="en"/>
        </w:rPr>
        <w:t>首先是</w:t>
      </w:r>
      <w:r w:rsidRPr="00D052EB">
        <w:rPr>
          <w:rFonts w:asciiTheme="majorEastAsia" w:eastAsiaTheme="majorEastAsia" w:hAnsiTheme="majorEastAsia" w:hint="eastAsia"/>
          <w:b/>
          <w:bCs/>
          <w:lang w:val="en"/>
        </w:rPr>
        <w:t>算法性能与一致性</w:t>
      </w:r>
      <w:r w:rsidRPr="00D052EB">
        <w:rPr>
          <w:rFonts w:asciiTheme="majorEastAsia" w:eastAsiaTheme="majorEastAsia" w:hAnsiTheme="majorEastAsia" w:hint="eastAsia"/>
          <w:lang w:val="en"/>
        </w:rPr>
        <w:t>方面仍有改进空间。一些早期用户反馈，AI决策有时并不理想；在某些情况下，Copilot的充放电策略选择不当，反而增加了用电成本，未能达到预期的省电效果</w:t>
      </w:r>
      <w:r>
        <w:rPr>
          <w:rFonts w:asciiTheme="majorEastAsia" w:eastAsiaTheme="majorEastAsia" w:hAnsiTheme="majorEastAsia" w:hint="eastAsia"/>
          <w:lang w:val="en"/>
        </w:rPr>
        <w:t xml:space="preserve"> </w:t>
      </w:r>
      <w:r w:rsidRPr="00D052EB">
        <w:rPr>
          <w:rFonts w:asciiTheme="majorEastAsia" w:eastAsiaTheme="majorEastAsia" w:hAnsiTheme="majorEastAsia"/>
        </w:rPr>
        <w:fldChar w:fldCharType="begin"/>
      </w:r>
      <w:r w:rsidRPr="00D052EB">
        <w:rPr>
          <w:rFonts w:asciiTheme="majorEastAsia" w:eastAsiaTheme="majorEastAsia" w:hAnsiTheme="majorEastAsia"/>
        </w:rPr>
        <w:instrText xml:space="preserve"> ADDIN ZOTERO_ITEM CSL_CITATION {"citationID":"vUEnINMn","properties":{"formattedCitation":"[3]","plainCitation":"[3]","noteIndex":0},"citationItems":[{"id":6032,"uris":["http://zotero.org/users/7945676/items/YHUDDY9J"],"itemData":{"id":6032,"type":"webpage","abstract":"HiHas anyone tried the new Deye cloud app and more specifically the AI “copilot” that replaces the time of use settings?Apparently the AI is meant to optimise usage to ensure max cost savings.","container-title":"Power Forum - Renewable Energy Discussion","language":"en-ZA","title":"Deye copilot","URL":"https://powerforum.co.za/topic/32057-deye-copilot/","accessed":{"date-parts":[["2026",1,29]]},"issued":{"date-parts":[["2025",3,16]]}}}],"schema":"https://github.com/citation-style-language/schema/raw/master/csl-citation.json"} </w:instrText>
      </w:r>
      <w:r w:rsidRPr="00D052EB">
        <w:rPr>
          <w:rFonts w:asciiTheme="majorEastAsia" w:eastAsiaTheme="majorEastAsia" w:hAnsiTheme="majorEastAsia"/>
        </w:rPr>
        <w:fldChar w:fldCharType="separate"/>
      </w:r>
      <w:r w:rsidRPr="00D052EB">
        <w:rPr>
          <w:rFonts w:asciiTheme="majorEastAsia" w:eastAsiaTheme="majorEastAsia" w:hAnsiTheme="majorEastAsia"/>
          <w:noProof/>
        </w:rPr>
        <w:t>[3]</w:t>
      </w:r>
      <w:r w:rsidRPr="00D052EB">
        <w:rPr>
          <w:rFonts w:asciiTheme="majorEastAsia" w:eastAsiaTheme="majorEastAsia" w:hAnsiTheme="majorEastAsia"/>
        </w:rPr>
        <w:fldChar w:fldCharType="end"/>
      </w:r>
      <w:r w:rsidRPr="00D052EB">
        <w:rPr>
          <w:rFonts w:asciiTheme="majorEastAsia" w:eastAsiaTheme="majorEastAsia" w:hAnsiTheme="majorEastAsia" w:hint="eastAsia"/>
          <w:lang w:val="en"/>
        </w:rPr>
        <w:t>。这表明优化算法需要进一步调优，并在更广泛的真实场景中严格验证，以确保应对各种工况（例如，非常规的电价波动或负载模式）时也能保持最佳表现。</w:t>
      </w:r>
    </w:p>
    <w:p w14:paraId="4C69A6D4" w14:textId="5AD6E088" w:rsidR="00D052EB" w:rsidRDefault="00D052EB" w:rsidP="00D052EB">
      <w:pPr>
        <w:pStyle w:val="ListParagraph"/>
        <w:numPr>
          <w:ilvl w:val="0"/>
          <w:numId w:val="18"/>
        </w:numPr>
        <w:rPr>
          <w:rFonts w:asciiTheme="majorEastAsia" w:eastAsiaTheme="majorEastAsia" w:hAnsiTheme="majorEastAsia"/>
          <w:lang w:val="en"/>
        </w:rPr>
      </w:pPr>
      <w:r>
        <w:rPr>
          <w:rFonts w:asciiTheme="majorEastAsia" w:eastAsiaTheme="majorEastAsia" w:hAnsiTheme="majorEastAsia" w:hint="eastAsia"/>
          <w:lang w:val="en"/>
        </w:rPr>
        <w:t>第二</w:t>
      </w:r>
      <w:r w:rsidRPr="00D052EB">
        <w:rPr>
          <w:rFonts w:asciiTheme="majorEastAsia" w:eastAsiaTheme="majorEastAsia" w:hAnsiTheme="majorEastAsia" w:hint="eastAsia"/>
          <w:lang w:val="en"/>
        </w:rPr>
        <w:t>，</w:t>
      </w:r>
      <w:r w:rsidRPr="00D052EB">
        <w:rPr>
          <w:rFonts w:asciiTheme="majorEastAsia" w:eastAsiaTheme="majorEastAsia" w:hAnsiTheme="majorEastAsia" w:hint="eastAsia"/>
          <w:b/>
          <w:bCs/>
          <w:lang w:val="en"/>
        </w:rPr>
        <w:t>用户控制和系统干预</w:t>
      </w:r>
      <w:r w:rsidRPr="00D052EB">
        <w:rPr>
          <w:rFonts w:asciiTheme="majorEastAsia" w:eastAsiaTheme="majorEastAsia" w:hAnsiTheme="majorEastAsia" w:hint="eastAsia"/>
          <w:lang w:val="en"/>
        </w:rPr>
        <w:t>也是一大挑战</w:t>
      </w:r>
      <w:r>
        <w:rPr>
          <w:rFonts w:asciiTheme="majorEastAsia" w:eastAsiaTheme="majorEastAsia" w:hAnsiTheme="majorEastAsia" w:hint="eastAsia"/>
          <w:lang w:val="en"/>
        </w:rPr>
        <w:t>。</w:t>
      </w:r>
      <w:r w:rsidRPr="00D052EB">
        <w:rPr>
          <w:rFonts w:asciiTheme="majorEastAsia" w:eastAsiaTheme="majorEastAsia" w:hAnsiTheme="majorEastAsia" w:hint="eastAsia"/>
          <w:lang w:val="en"/>
        </w:rPr>
        <w:t>AI有时会自动调整逆变器设置，超出用户预期，导致少数用户因不放心其自主操作而切换回手动模式。据社区论坛反映，Copilot在启用后会自动修改某些参数，令用户困惑，这在一定程度上削弱了用户对全自动模式的信任。因此，如何提高系统运行的透明度和可控性（例如通过更友好的用户界面、允许用户设定偏好或安全限制）对于用户接受度至关重要</w:t>
      </w:r>
      <w:r>
        <w:rPr>
          <w:rFonts w:asciiTheme="majorEastAsia" w:eastAsiaTheme="majorEastAsia" w:hAnsiTheme="majorEastAsia" w:hint="eastAsia"/>
          <w:lang w:val="en"/>
        </w:rPr>
        <w:t>。</w:t>
      </w:r>
    </w:p>
    <w:p w14:paraId="7CC0FD61" w14:textId="587F3356" w:rsidR="00D052EB" w:rsidRDefault="00D052EB" w:rsidP="00D052EB">
      <w:pPr>
        <w:pStyle w:val="ListParagraph"/>
        <w:numPr>
          <w:ilvl w:val="0"/>
          <w:numId w:val="18"/>
        </w:numPr>
        <w:rPr>
          <w:rFonts w:asciiTheme="majorEastAsia" w:eastAsiaTheme="majorEastAsia" w:hAnsiTheme="majorEastAsia"/>
          <w:lang w:val="en"/>
        </w:rPr>
      </w:pPr>
      <w:r w:rsidRPr="00D052EB">
        <w:rPr>
          <w:rFonts w:asciiTheme="majorEastAsia" w:eastAsiaTheme="majorEastAsia" w:hAnsiTheme="majorEastAsia" w:hint="eastAsia"/>
          <w:lang w:val="en"/>
        </w:rPr>
        <w:t>第三，</w:t>
      </w:r>
      <w:r w:rsidRPr="00D052EB">
        <w:rPr>
          <w:rFonts w:asciiTheme="majorEastAsia" w:eastAsiaTheme="majorEastAsia" w:hAnsiTheme="majorEastAsia" w:hint="eastAsia"/>
          <w:b/>
          <w:bCs/>
          <w:lang w:val="en"/>
        </w:rPr>
        <w:t>数据范围和预测模型</w:t>
      </w:r>
      <w:r w:rsidRPr="00D052EB">
        <w:rPr>
          <w:rFonts w:asciiTheme="majorEastAsia" w:eastAsiaTheme="majorEastAsia" w:hAnsiTheme="majorEastAsia" w:hint="eastAsia"/>
          <w:lang w:val="en"/>
        </w:rPr>
        <w:t>可进一步扩展。目前Copilot整合了电价、天气等关键因素，但将来可以纳入更细粒度的数据（如住户用电习惯、电动汽车充电计划、区域电网信号等）并提升预测精度（借助更先进的AI模型），以增强系统智能决策的“基本功”。</w:t>
      </w:r>
    </w:p>
    <w:p w14:paraId="5A7FC497" w14:textId="65297774" w:rsidR="00D052EB" w:rsidRDefault="00D052EB" w:rsidP="00D052EB">
      <w:pPr>
        <w:pStyle w:val="ListParagraph"/>
        <w:numPr>
          <w:ilvl w:val="0"/>
          <w:numId w:val="18"/>
        </w:numPr>
        <w:rPr>
          <w:rFonts w:asciiTheme="majorEastAsia" w:eastAsiaTheme="majorEastAsia" w:hAnsiTheme="majorEastAsia"/>
          <w:lang w:val="en"/>
        </w:rPr>
      </w:pPr>
      <w:r w:rsidRPr="00D052EB">
        <w:rPr>
          <w:rFonts w:asciiTheme="majorEastAsia" w:eastAsiaTheme="majorEastAsia" w:hAnsiTheme="majorEastAsia" w:hint="eastAsia"/>
          <w:lang w:val="en"/>
        </w:rPr>
        <w:t>最后，随着Copilot走向更多国家市场，还会出现</w:t>
      </w:r>
      <w:r w:rsidRPr="00D052EB">
        <w:rPr>
          <w:rFonts w:asciiTheme="majorEastAsia" w:eastAsiaTheme="majorEastAsia" w:hAnsiTheme="majorEastAsia" w:hint="eastAsia"/>
          <w:b/>
          <w:bCs/>
          <w:lang w:val="en"/>
        </w:rPr>
        <w:t>可扩展性和适应性</w:t>
      </w:r>
      <w:r w:rsidRPr="00D052EB">
        <w:rPr>
          <w:rFonts w:asciiTheme="majorEastAsia" w:eastAsiaTheme="majorEastAsia" w:hAnsiTheme="majorEastAsia" w:hint="eastAsia"/>
          <w:lang w:val="en"/>
        </w:rPr>
        <w:t>问题</w:t>
      </w:r>
      <w:r>
        <w:rPr>
          <w:rFonts w:asciiTheme="majorEastAsia" w:eastAsiaTheme="majorEastAsia" w:hAnsiTheme="majorEastAsia" w:hint="eastAsia"/>
          <w:lang w:val="en"/>
        </w:rPr>
        <w:t>。</w:t>
      </w:r>
      <w:r w:rsidRPr="00D052EB">
        <w:rPr>
          <w:rFonts w:asciiTheme="majorEastAsia" w:eastAsiaTheme="majorEastAsia" w:hAnsiTheme="majorEastAsia" w:hint="eastAsia"/>
          <w:lang w:val="en"/>
        </w:rPr>
        <w:t>各地电力市场规则、费率结构、VPP项目不尽相同，需要AI和云平台能因地制宜地调整（同时保持性能稳定），这是一项不小的挑战。</w:t>
      </w:r>
    </w:p>
    <w:p w14:paraId="7E53E7E7" w14:textId="48FB4A82" w:rsidR="00D052EB" w:rsidRPr="00D052EB" w:rsidRDefault="00D052EB" w:rsidP="00D052EB">
      <w:pPr>
        <w:rPr>
          <w:rFonts w:asciiTheme="majorEastAsia" w:eastAsiaTheme="majorEastAsia" w:hAnsiTheme="majorEastAsia" w:hint="eastAsia"/>
          <w:lang w:val="en-US"/>
        </w:rPr>
      </w:pPr>
      <w:r w:rsidRPr="00D052EB">
        <w:rPr>
          <w:rFonts w:asciiTheme="majorEastAsia" w:eastAsiaTheme="majorEastAsia" w:hAnsiTheme="majorEastAsia" w:hint="eastAsia"/>
          <w:lang w:val="en"/>
        </w:rPr>
        <w:lastRenderedPageBreak/>
        <w:t>综上所述，</w:t>
      </w:r>
      <w:r w:rsidRPr="00D052EB">
        <w:rPr>
          <w:rFonts w:asciiTheme="majorEastAsia" w:eastAsiaTheme="majorEastAsia" w:hAnsiTheme="majorEastAsia" w:hint="eastAsia"/>
          <w:b/>
          <w:bCs/>
          <w:lang w:val="en"/>
        </w:rPr>
        <w:t>当前阶段的Deye</w:t>
      </w:r>
      <w:r w:rsidRPr="00D052EB">
        <w:rPr>
          <w:rFonts w:asciiTheme="majorEastAsia" w:eastAsiaTheme="majorEastAsia" w:hAnsiTheme="majorEastAsia"/>
          <w:b/>
          <w:bCs/>
          <w:lang w:val="en"/>
        </w:rPr>
        <w:t xml:space="preserve"> </w:t>
      </w:r>
      <w:r w:rsidRPr="00D052EB">
        <w:rPr>
          <w:rFonts w:asciiTheme="majorEastAsia" w:eastAsiaTheme="majorEastAsia" w:hAnsiTheme="majorEastAsia" w:hint="eastAsia"/>
          <w:b/>
          <w:bCs/>
          <w:lang w:val="en"/>
        </w:rPr>
        <w:t>Copilot奠定了良好基础</w:t>
      </w:r>
      <w:r w:rsidRPr="00D052EB">
        <w:rPr>
          <w:rFonts w:asciiTheme="majorEastAsia" w:eastAsiaTheme="majorEastAsia" w:hAnsiTheme="majorEastAsia" w:hint="eastAsia"/>
          <w:lang w:val="en"/>
        </w:rPr>
        <w:t>——证明了AI驱动的能源优化结合多层次收益的可行性，但也清晰暴露出</w:t>
      </w:r>
      <w:r w:rsidRPr="00D052EB">
        <w:rPr>
          <w:rFonts w:asciiTheme="majorEastAsia" w:eastAsiaTheme="majorEastAsia" w:hAnsiTheme="majorEastAsia" w:hint="eastAsia"/>
          <w:b/>
          <w:bCs/>
          <w:lang w:val="en"/>
        </w:rPr>
        <w:t>需强化AI核心算法、可靠性和适应性的需求</w:t>
      </w:r>
      <w:r w:rsidRPr="00D052EB">
        <w:rPr>
          <w:rFonts w:asciiTheme="majorEastAsia" w:eastAsiaTheme="majorEastAsia" w:hAnsiTheme="majorEastAsia" w:hint="eastAsia"/>
          <w:lang w:val="en"/>
        </w:rPr>
        <w:t>。这些需求促使我们针对下一代能源管理AI技术开展深入研究。</w:t>
      </w:r>
    </w:p>
    <w:p w14:paraId="6BFF3A75" w14:textId="77777777" w:rsidR="000F0E11" w:rsidRPr="000F0E11" w:rsidRDefault="000F0E11" w:rsidP="000F0E11">
      <w:pPr>
        <w:rPr>
          <w:rFonts w:asciiTheme="majorEastAsia" w:eastAsiaTheme="majorEastAsia" w:hAnsiTheme="majorEastAsia" w:hint="eastAsia"/>
          <w:lang w:val="en"/>
        </w:rPr>
      </w:pPr>
    </w:p>
    <w:p w14:paraId="7725887C" w14:textId="77777777" w:rsidR="000F0E11" w:rsidRPr="000F0E11" w:rsidRDefault="000F0E11" w:rsidP="000F0E11">
      <w:pPr>
        <w:rPr>
          <w:rFonts w:hint="eastAsia"/>
          <w:lang w:val="en"/>
        </w:rPr>
      </w:pPr>
    </w:p>
    <w:p w14:paraId="60F37E54" w14:textId="53E218CB" w:rsidR="007E15DE" w:rsidRPr="003A3F48" w:rsidRDefault="006F1109" w:rsidP="00E220EB">
      <w:pPr>
        <w:pStyle w:val="NormalWeb"/>
      </w:pPr>
      <w:r>
        <w:rPr>
          <w:rFonts w:eastAsia="Times New Roman"/>
          <w:noProof/>
          <w:lang w:val="en-US"/>
        </w:rPr>
        <w:drawing>
          <wp:anchor distT="0" distB="0" distL="114300" distR="114300" simplePos="0" relativeHeight="251658240" behindDoc="0" locked="0" layoutInCell="1" allowOverlap="1" wp14:anchorId="4D8067B9" wp14:editId="4629A8AA">
            <wp:simplePos x="0" y="0"/>
            <wp:positionH relativeFrom="column">
              <wp:posOffset>62328</wp:posOffset>
            </wp:positionH>
            <wp:positionV relativeFrom="paragraph">
              <wp:posOffset>1889613</wp:posOffset>
            </wp:positionV>
            <wp:extent cx="5731510" cy="5843270"/>
            <wp:effectExtent l="0" t="0" r="0" b="0"/>
            <wp:wrapTopAndBottom/>
            <wp:docPr id="450287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87610" name="Picture 4502876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843270"/>
                    </a:xfrm>
                    <a:prstGeom prst="rect">
                      <a:avLst/>
                    </a:prstGeom>
                  </pic:spPr>
                </pic:pic>
              </a:graphicData>
            </a:graphic>
            <wp14:sizeRelH relativeFrom="page">
              <wp14:pctWidth>0</wp14:pctWidth>
            </wp14:sizeRelH>
            <wp14:sizeRelV relativeFrom="page">
              <wp14:pctHeight>0</wp14:pctHeight>
            </wp14:sizeRelV>
          </wp:anchor>
        </w:drawing>
      </w:r>
      <w:r w:rsidR="003A3F48">
        <w:t xml:space="preserve">        </w:t>
      </w:r>
      <w:r w:rsidR="007E15DE">
        <w:t xml:space="preserve">Deye Copilot’s cloud platform also </w:t>
      </w:r>
      <w:r w:rsidR="007E15DE" w:rsidRPr="003A3F48">
        <w:t>integrates with multiple VPP operators</w:t>
      </w:r>
      <w:r w:rsidR="007E15DE">
        <w:t xml:space="preserve"> (e.g. </w:t>
      </w:r>
      <w:proofErr w:type="spellStart"/>
      <w:r w:rsidR="007E15DE">
        <w:t>Evergen</w:t>
      </w:r>
      <w:proofErr w:type="spellEnd"/>
      <w:r w:rsidR="007E15DE">
        <w:t xml:space="preserve">, </w:t>
      </w:r>
      <w:proofErr w:type="spellStart"/>
      <w:r w:rsidR="007E15DE">
        <w:t>Greensync</w:t>
      </w:r>
      <w:proofErr w:type="spellEnd"/>
      <w:r w:rsidR="007E15DE">
        <w:t>, Termina, Amber) to aggregate distributed energy resources for grid services.</w:t>
      </w:r>
      <w:r w:rsidR="003A3F48">
        <w:t xml:space="preserve"> Through this </w:t>
      </w:r>
      <w:r w:rsidR="003A3F48" w:rsidRPr="003A3F48">
        <w:t>“VPP network”,</w:t>
      </w:r>
      <w:r w:rsidR="003A3F48">
        <w:t xml:space="preserve"> a user can opt into ancillary service markets like frequency regulation or </w:t>
      </w:r>
      <w:r w:rsidR="003A3F48" w:rsidRPr="003A3F48">
        <w:t>green certificate trading</w:t>
      </w:r>
      <w:r w:rsidR="003A3F48">
        <w:t xml:space="preserve">, further monetizing surplus energy. This reflects a shift from traditional single-market use to </w:t>
      </w:r>
      <w:r w:rsidR="003A3F48" w:rsidRPr="003A3F48">
        <w:t>multi-layered value stacking</w:t>
      </w:r>
      <w:r w:rsidR="003A3F48">
        <w:t xml:space="preserve"> in energy storage. The </w:t>
      </w:r>
      <w:r w:rsidR="003A3F48">
        <w:lastRenderedPageBreak/>
        <w:t xml:space="preserve">Copilot system effectively acts as a smart dispatcher that can route energy either for local use or into external markets, creating what Deye calls a </w:t>
      </w:r>
      <w:r w:rsidR="003A3F48" w:rsidRPr="003A3F48">
        <w:t>“VPP supermarket”</w:t>
      </w:r>
      <w:r w:rsidR="003A3F48">
        <w:t xml:space="preserve"> where users flexibly choose how to deploy their assets.</w:t>
      </w:r>
    </w:p>
    <w:p w14:paraId="68138697" w14:textId="16597412" w:rsidR="003E3B62" w:rsidRDefault="007E15DE" w:rsidP="00E220EB">
      <w:pPr>
        <w:pStyle w:val="NormalWeb"/>
        <w:rPr>
          <w:rFonts w:eastAsia="Times New Roman"/>
          <w:lang w:val="en"/>
        </w:rPr>
      </w:pPr>
      <w:r w:rsidRPr="007E15DE">
        <w:rPr>
          <w:rFonts w:eastAsia="Times New Roman"/>
          <w:lang w:val="en"/>
        </w:rPr>
        <w:t>Despite this progress, several issues and challenges have been identified that need to be resolved to fully realize Copilot’s potential.</w:t>
      </w:r>
    </w:p>
    <w:p w14:paraId="29C39304" w14:textId="111746D9" w:rsidR="007E15DE" w:rsidRPr="00600A19" w:rsidRDefault="007E15DE" w:rsidP="007E15DE">
      <w:pPr>
        <w:pStyle w:val="NormalWeb"/>
        <w:numPr>
          <w:ilvl w:val="0"/>
          <w:numId w:val="16"/>
        </w:numPr>
        <w:rPr>
          <w:rFonts w:eastAsia="Times New Roman"/>
        </w:rPr>
      </w:pPr>
      <w:r w:rsidRPr="00382539">
        <w:rPr>
          <w:b/>
          <w:bCs/>
        </w:rPr>
        <w:t>First, algorithmic performance and consistency remain areas for improvement.</w:t>
      </w:r>
      <w:r>
        <w:t xml:space="preserve"> Early adopters reported that the AI’s decisions were not always optimal; in some cases the Copilot made poor charging/discharging choices that </w:t>
      </w:r>
      <w:r w:rsidRPr="007E15DE">
        <w:t>increased costs</w:t>
      </w:r>
      <w:r>
        <w:t xml:space="preserve"> or didn’t minimize grid purchases as expected</w:t>
      </w:r>
      <w:r w:rsidR="00600A19">
        <w:t xml:space="preserve"> </w:t>
      </w:r>
      <w:r w:rsidR="00600A19">
        <w:fldChar w:fldCharType="begin"/>
      </w:r>
      <w:r w:rsidR="00600A19">
        <w:instrText xml:space="preserve"> ADDIN ZOTERO_ITEM CSL_CITATION {"citationID":"vUEnINMn","properties":{"formattedCitation":"[3]","plainCitation":"[3]","noteIndex":0},"citationItems":[{"id":6032,"uris":["http://zotero.org/users/7945676/items/YHUDDY9J"],"itemData":{"id":6032,"type":"webpage","abstract":"HiHas anyone tried the new Deye cloud app and more specifically the AI “copilot” that replaces the time of use settings?Apparently the AI is meant to optimise usage to ensure max cost savings.","container-title":"Power Forum - Renewable Energy Discussion","language":"en-ZA","title":"Deye copilot","URL":"https://powerforum.co.za/topic/32057-deye-copilot/","accessed":{"date-parts":[["2026",1,29]]},"issued":{"date-parts":[["2025",3,16]]}}}],"schema":"https://github.com/citation-style-language/schema/raw/master/csl-citation.json"} </w:instrText>
      </w:r>
      <w:r w:rsidR="00600A19">
        <w:fldChar w:fldCharType="separate"/>
      </w:r>
      <w:r w:rsidR="00600A19">
        <w:rPr>
          <w:noProof/>
        </w:rPr>
        <w:t>[3]</w:t>
      </w:r>
      <w:r w:rsidR="00600A19">
        <w:fldChar w:fldCharType="end"/>
      </w:r>
      <w:r>
        <w:t xml:space="preserve">. Such feedback indicates that the AI optimization algorithms may need further tuning and robust validation to handle diverse real-world scenarios (e.g. unusual tariff patterns or load </w:t>
      </w:r>
      <w:proofErr w:type="spellStart"/>
      <w:r>
        <w:t>behaviors</w:t>
      </w:r>
      <w:proofErr w:type="spellEnd"/>
      <w:r>
        <w:t>).</w:t>
      </w:r>
    </w:p>
    <w:p w14:paraId="48866E8B" w14:textId="2CA8F185" w:rsidR="00600A19" w:rsidRPr="00600A19" w:rsidRDefault="00600A19" w:rsidP="007E15DE">
      <w:pPr>
        <w:pStyle w:val="NormalWeb"/>
        <w:numPr>
          <w:ilvl w:val="0"/>
          <w:numId w:val="16"/>
        </w:numPr>
        <w:rPr>
          <w:rFonts w:eastAsia="Times New Roman"/>
        </w:rPr>
      </w:pPr>
      <w:r w:rsidRPr="00382539">
        <w:rPr>
          <w:b/>
          <w:bCs/>
        </w:rPr>
        <w:t xml:space="preserve">Second, </w:t>
      </w:r>
      <w:r w:rsidRPr="00382539">
        <w:rPr>
          <w:b/>
          <w:bCs/>
          <w:lang w:val="en"/>
        </w:rPr>
        <w:t>user control and system overrides present a challenge</w:t>
      </w:r>
      <w:r w:rsidR="00382539">
        <w:rPr>
          <w:b/>
          <w:bCs/>
          <w:lang w:val="en"/>
        </w:rPr>
        <w:t xml:space="preserve">. </w:t>
      </w:r>
      <w:r w:rsidR="00382539" w:rsidRPr="00382539">
        <w:rPr>
          <w:lang w:val="en"/>
        </w:rPr>
        <w:t>T</w:t>
      </w:r>
      <w:r w:rsidRPr="00600A19">
        <w:rPr>
          <w:lang w:val="en"/>
        </w:rPr>
        <w:t>he AI sometimes adjusts inverter settings in ways the user did not anticipate, leading a few users to revert to manual settings. For instance, community forum reports noted that Copilot automatically altered certain inverter parameters, which confused users and eroded trust in autonomous mode. Ensuring a transparent and user-aligned operation (perhaps through better UI, user-configurable goals, or fail-safes) is therefore important for user acceptance</w:t>
      </w:r>
      <w:r>
        <w:rPr>
          <w:lang w:val="en"/>
        </w:rPr>
        <w:t>.</w:t>
      </w:r>
    </w:p>
    <w:p w14:paraId="16A1CCF5" w14:textId="702A8151" w:rsidR="00600A19" w:rsidRPr="00600A19" w:rsidRDefault="00600A19" w:rsidP="007E15DE">
      <w:pPr>
        <w:pStyle w:val="NormalWeb"/>
        <w:numPr>
          <w:ilvl w:val="0"/>
          <w:numId w:val="16"/>
        </w:numPr>
        <w:rPr>
          <w:rFonts w:eastAsia="Times New Roman"/>
        </w:rPr>
      </w:pPr>
      <w:r w:rsidRPr="00382539">
        <w:rPr>
          <w:b/>
          <w:bCs/>
        </w:rPr>
        <w:t>Third, the scope of data and predictive models can be expanded.</w:t>
      </w:r>
      <w:r>
        <w:t xml:space="preserve"> Copilot currently integrates key variables (price, weather, etc.), but incorporating more granular data (like household consumption patterns, EV charging schedules, or regional grid signals) and improving forecasting accuracy (through advanced AI models) will be crucial to enhance the system’s fundamental AI capabilities.</w:t>
      </w:r>
    </w:p>
    <w:p w14:paraId="1034A762" w14:textId="501C14D8" w:rsidR="00600A19" w:rsidRPr="00600A19" w:rsidRDefault="00600A19" w:rsidP="007E15DE">
      <w:pPr>
        <w:pStyle w:val="NormalWeb"/>
        <w:numPr>
          <w:ilvl w:val="0"/>
          <w:numId w:val="16"/>
        </w:numPr>
        <w:rPr>
          <w:rFonts w:eastAsia="Times New Roman"/>
        </w:rPr>
      </w:pPr>
      <w:r w:rsidRPr="00382539">
        <w:rPr>
          <w:b/>
          <w:bCs/>
        </w:rPr>
        <w:t xml:space="preserve">Forth, scalability and interoperability issues may arise as the Copilot is rolled out to more markets worldwide. </w:t>
      </w:r>
      <w:r>
        <w:t>Each electricity market has unique regulations, tariff structures, and VPP programs; adapting the AI and cloud platform to these local conditions (while maintaining performance) is a non-trivial challenge.</w:t>
      </w:r>
    </w:p>
    <w:p w14:paraId="0F079866" w14:textId="62FD871E" w:rsidR="00600A19" w:rsidRPr="00600A19" w:rsidRDefault="00600A19" w:rsidP="00600A19">
      <w:pPr>
        <w:pStyle w:val="NormalWeb"/>
        <w:rPr>
          <w:rFonts w:eastAsia="Times New Roman"/>
          <w:lang w:val="en"/>
        </w:rPr>
      </w:pPr>
      <w:r>
        <w:rPr>
          <w:rFonts w:eastAsia="Times New Roman"/>
          <w:lang w:val="en"/>
        </w:rPr>
        <w:t xml:space="preserve">        </w:t>
      </w:r>
      <w:r w:rsidRPr="00600A19">
        <w:rPr>
          <w:rFonts w:eastAsia="Times New Roman"/>
          <w:lang w:val="en"/>
        </w:rPr>
        <w:t>In summary, the current stage of Deye Copilot is a promising foundation – it validates the concept of AI-driven energy optimization with multi-layer revenue streams – but there is a clear need to strengthen the AI’s fundamental algorithms, reliability, and adaptability to fully meet Deye’s goals. These needs motivate targeted research into next-generation AI energy management techniques.</w:t>
      </w:r>
    </w:p>
    <w:p w14:paraId="6B88DB10" w14:textId="30637CBD" w:rsidR="00EB34CE" w:rsidRDefault="00EB34CE" w:rsidP="00EB34CE">
      <w:pPr>
        <w:pStyle w:val="Heading2"/>
      </w:pPr>
      <w:r>
        <w:lastRenderedPageBreak/>
        <w:t>1.2. Decentralized Green Energy Asset System: Overall Structure</w:t>
      </w:r>
    </w:p>
    <w:p w14:paraId="4E9E7E8D" w14:textId="77777777" w:rsidR="00EB34CE" w:rsidRPr="00EB34CE" w:rsidRDefault="00EB34CE" w:rsidP="00EB34CE">
      <w:pPr>
        <w:pStyle w:val="NormalWeb"/>
        <w:rPr>
          <w:rFonts w:eastAsia="Times New Roman"/>
          <w:lang w:val="en"/>
        </w:rPr>
      </w:pPr>
      <w:r w:rsidRPr="00EB34CE">
        <w:rPr>
          <w:rFonts w:eastAsia="Times New Roman"/>
          <w:highlight w:val="yellow"/>
          <w:lang w:val="en"/>
        </w:rPr>
        <w:t>In parallel with improving the AI-based EMS, Deye envisions a decentralized green energy asset system that tokenizes and manages renewable energy assets on a blockchain – essentially an implementation of Real-World Asset (RWA) tokenization for green energy.</w:t>
      </w:r>
      <w:r w:rsidRPr="00EB34CE">
        <w:rPr>
          <w:rFonts w:eastAsia="Times New Roman"/>
          <w:lang w:val="en"/>
        </w:rPr>
        <w:t xml:space="preserve"> The overall structure of this system spans multiple layers bridging physical infrastructure and digital finance:</w:t>
      </w:r>
    </w:p>
    <w:p w14:paraId="4803F97F" w14:textId="0E5E9B61" w:rsidR="00600A19" w:rsidRPr="00382539" w:rsidRDefault="00382539" w:rsidP="00382539">
      <w:pPr>
        <w:pStyle w:val="NormalWeb"/>
        <w:numPr>
          <w:ilvl w:val="0"/>
          <w:numId w:val="17"/>
        </w:numPr>
        <w:rPr>
          <w:rFonts w:eastAsia="Times New Roman"/>
          <w:lang w:val="en"/>
        </w:rPr>
      </w:pPr>
      <w:r>
        <w:rPr>
          <w:b/>
          <w:bCs/>
        </w:rPr>
        <w:t>Physical Energy Asset Layer (Distributed Energy Resources):</w:t>
      </w:r>
      <w:r>
        <w:t xml:space="preserve"> At the base are the physical green energy assets – solar PV panels, home batteries, electric vehicles, wind turbines, etc. – owned by prosumers or communities. These are often equipped with IoT sensors, smart meters, and controllers (e.g. Deye inverters with Copilot EMS) that digitize their operations. The high degree of digitization (e.g. in battery management systems and inverter controls) provides real-time data on generation, storage, and consumption </w:t>
      </w:r>
      <w:r>
        <w:fldChar w:fldCharType="begin"/>
      </w:r>
      <w:r>
        <w:instrText xml:space="preserve"> ADDIN ZOTERO_ITEM CSL_CITATION {"citationID":"EsARQKFE","properties":{"formattedCitation":"[4]","plainCitation":"[4]","noteIndex":0},"citationItems":[{"id":6034,"uris":["http://zotero.org/users/7945676/items/CVY73YZL"],"itemData":{"id":6034,"type":"webpage","title":"Why “Green Energy + DePIN + AI” is the Optimal Asset for RWA?","URL":"https://www.gate.com/learn/articles/why-green-energy-depin-ai-is-the-optimal-asset-for-rwa/3824","accessed":{"date-parts":[["2026",1,29]]}}}],"schema":"https://github.com/citation-style-language/schema/raw/master/csl-citation.json"} </w:instrText>
      </w:r>
      <w:r>
        <w:fldChar w:fldCharType="separate"/>
      </w:r>
      <w:r>
        <w:rPr>
          <w:noProof/>
        </w:rPr>
        <w:t>[4]</w:t>
      </w:r>
      <w:r>
        <w:fldChar w:fldCharType="end"/>
      </w:r>
      <w:r>
        <w:t>.</w:t>
      </w:r>
    </w:p>
    <w:p w14:paraId="45555586" w14:textId="234D996B" w:rsidR="00382539" w:rsidRPr="007006F6" w:rsidRDefault="00382539" w:rsidP="00382539">
      <w:pPr>
        <w:pStyle w:val="NormalWeb"/>
        <w:numPr>
          <w:ilvl w:val="0"/>
          <w:numId w:val="17"/>
        </w:numPr>
        <w:rPr>
          <w:rFonts w:eastAsia="Times New Roman"/>
          <w:lang w:val="en"/>
        </w:rPr>
      </w:pPr>
      <w:r>
        <w:rPr>
          <w:b/>
          <w:bCs/>
        </w:rPr>
        <w:t>AI-Driven Energy Management Layer:</w:t>
      </w:r>
      <w:r>
        <w:t xml:space="preserve"> This layer comprises intelligent controllers and algorithms (like Deye Copilot’s AI or an “</w:t>
      </w:r>
      <w:proofErr w:type="spellStart"/>
      <w:r>
        <w:t>EnergyGPT</w:t>
      </w:r>
      <w:proofErr w:type="spellEnd"/>
      <w:r>
        <w:t xml:space="preserve">” agent) that serve as the “brain” for distributed assets. They forecast supply and demand, optimize dispatch, and ensure efficient use of each asset. The AI can perform tasks such as load forecasting, dynamic pricing arbitrage, battery health management, and even predictive maintenance. </w:t>
      </w:r>
      <w:r w:rsidR="007006F6">
        <w:t xml:space="preserve">In a decentralized context, each device or site may run an automated agent that interacts with the network – making local decisions for the asset owner’s benefit while responding to external signals (prices, grid needs). This </w:t>
      </w:r>
      <w:r w:rsidR="007006F6" w:rsidRPr="007006F6">
        <w:t>AI layer maximizes cost savings and energy efficiency</w:t>
      </w:r>
      <w:r w:rsidR="007006F6">
        <w:t xml:space="preserve"> on the ground, providing the fundamental energy management capabilities required before any trading or tokenization occurs. </w:t>
      </w:r>
    </w:p>
    <w:p w14:paraId="04F82A9D" w14:textId="2C6E3426" w:rsidR="007006F6" w:rsidRPr="006F1109" w:rsidRDefault="007006F6" w:rsidP="00382539">
      <w:pPr>
        <w:pStyle w:val="NormalWeb"/>
        <w:numPr>
          <w:ilvl w:val="0"/>
          <w:numId w:val="17"/>
        </w:numPr>
        <w:rPr>
          <w:rFonts w:eastAsia="Times New Roman"/>
          <w:lang w:val="en"/>
        </w:rPr>
      </w:pPr>
      <w:r>
        <w:rPr>
          <w:b/>
          <w:bCs/>
        </w:rPr>
        <w:t>Decentralized Networking &amp; Data Layer (</w:t>
      </w:r>
      <w:proofErr w:type="spellStart"/>
      <w:r>
        <w:rPr>
          <w:b/>
          <w:bCs/>
        </w:rPr>
        <w:t>DePIN</w:t>
      </w:r>
      <w:proofErr w:type="spellEnd"/>
      <w:r>
        <w:rPr>
          <w:b/>
          <w:bCs/>
        </w:rPr>
        <w:t xml:space="preserve"> Infrastructure):</w:t>
      </w:r>
      <w:r>
        <w:t xml:space="preserve"> To connect many distributed assets securely and reliably, a </w:t>
      </w:r>
      <w:r w:rsidRPr="007006F6">
        <w:t>Decentralized Physical Infrastructure Network (</w:t>
      </w:r>
      <w:proofErr w:type="spellStart"/>
      <w:r w:rsidRPr="007006F6">
        <w:t>DePIN</w:t>
      </w:r>
      <w:proofErr w:type="spellEnd"/>
      <w:r w:rsidRPr="007006F6">
        <w:t xml:space="preserve">) </w:t>
      </w:r>
      <w:r>
        <w:t xml:space="preserve">is employed. </w:t>
      </w:r>
      <w:proofErr w:type="spellStart"/>
      <w:r>
        <w:t>DePIN</w:t>
      </w:r>
      <w:proofErr w:type="spellEnd"/>
      <w:r>
        <w:t xml:space="preserve"> refers to leveraging blockchain and IoT to create a trusted network of devices. In this context, each energy device (or a gateway aggregating a local site) is a node in a decentralized network. This network handles device authentication, data logging, and communications using distributed ledger technology, ensuring that data (e.g. energy produced/consumed) is </w:t>
      </w:r>
      <w:r w:rsidRPr="007006F6">
        <w:t>verifiable and tamper-resistant</w:t>
      </w:r>
      <w:r>
        <w:t xml:space="preserve">. Essentially, the </w:t>
      </w:r>
      <w:proofErr w:type="spellStart"/>
      <w:r>
        <w:t>DePIN</w:t>
      </w:r>
      <w:proofErr w:type="spellEnd"/>
      <w:r>
        <w:t xml:space="preserve"> layer is the “heart and veins” of the system – it pumps data from millions of edge devices into the digital ecosystem and enforces </w:t>
      </w:r>
      <w:r>
        <w:lastRenderedPageBreak/>
        <w:t xml:space="preserve">secure connectivity. This could be achieved via IoT blockchain protocols or oracles that feed real-world energy data onto the blockchain in near-real-time. </w:t>
      </w:r>
    </w:p>
    <w:p w14:paraId="20A5E7DD" w14:textId="27728F55" w:rsidR="006F1109" w:rsidRPr="006F1109" w:rsidRDefault="006F1109" w:rsidP="00382539">
      <w:pPr>
        <w:pStyle w:val="NormalWeb"/>
        <w:numPr>
          <w:ilvl w:val="0"/>
          <w:numId w:val="17"/>
        </w:numPr>
        <w:rPr>
          <w:rFonts w:eastAsia="Times New Roman"/>
          <w:lang w:val="en"/>
        </w:rPr>
      </w:pPr>
      <w:r>
        <w:rPr>
          <w:b/>
          <w:bCs/>
        </w:rPr>
        <w:t>Blockchain Asset Tokenization Layer:</w:t>
      </w:r>
      <w:r>
        <w:t xml:space="preserve"> On top of the infrastructure, the </w:t>
      </w:r>
      <w:r w:rsidRPr="006F1109">
        <w:t>RWA tokenization layer</w:t>
      </w:r>
      <w:r>
        <w:t xml:space="preserve"> turns energy assets and their outputs into digital tokens on a blockchain. Each token can represent a specific asset. Smart contracts define how tokens are issued, transferred, and redeemed. For instance, when a prosumer produces surplus solar energy, a smart contract could automatically issue them a </w:t>
      </w:r>
      <w:r w:rsidRPr="006F1109">
        <w:t>green energy credit token</w:t>
      </w:r>
      <w:r>
        <w:t xml:space="preserve">, which could then be sold or traded. Conversely, investors could purchase tokens that represent a stake in a renewable installation’s future output. This tokenization </w:t>
      </w:r>
      <w:r w:rsidRPr="006F1109">
        <w:t>makes traditionally illiquid energy assets more liquid and tradable</w:t>
      </w:r>
      <w:r>
        <w:t xml:space="preserve">, lowering the barrier for participation. </w:t>
      </w:r>
      <w:r w:rsidRPr="006F1109">
        <w:t>Small investors can buy fractions of a renewable energy project</w:t>
      </w:r>
      <w:r>
        <w:t xml:space="preserve">, and individuals can directly trade energy tokens peer-to-peer. </w:t>
      </w:r>
    </w:p>
    <w:p w14:paraId="252D19EE" w14:textId="766ECCCE" w:rsidR="006F1109" w:rsidRPr="00EB34CE" w:rsidRDefault="006F1109" w:rsidP="00382539">
      <w:pPr>
        <w:pStyle w:val="NormalWeb"/>
        <w:numPr>
          <w:ilvl w:val="0"/>
          <w:numId w:val="17"/>
        </w:numPr>
        <w:rPr>
          <w:rFonts w:eastAsia="Times New Roman"/>
          <w:lang w:val="en"/>
        </w:rPr>
      </w:pPr>
      <w:r>
        <w:rPr>
          <w:b/>
          <w:bCs/>
        </w:rPr>
        <w:t>Marketplace and Application Layer:</w:t>
      </w:r>
      <w:r>
        <w:t xml:space="preserve"> At the top, user-facing platforms and markets allow stakeholders to interact with the tokenized energy assets. This includes </w:t>
      </w:r>
      <w:r>
        <w:rPr>
          <w:b/>
          <w:bCs/>
        </w:rPr>
        <w:t>decentralized exchanges or trading platforms</w:t>
      </w:r>
      <w:r>
        <w:t xml:space="preserve"> where energy tokens are bought and sold (or </w:t>
      </w:r>
      <w:r>
        <w:rPr>
          <w:b/>
          <w:bCs/>
        </w:rPr>
        <w:t>automated market makers</w:t>
      </w:r>
      <w:r>
        <w:t xml:space="preserve"> enabling continuous liquidity for energy credits). It also includes </w:t>
      </w:r>
      <w:r>
        <w:rPr>
          <w:b/>
          <w:bCs/>
        </w:rPr>
        <w:t>investment platforms or crowdfunding portals</w:t>
      </w:r>
      <w:r>
        <w:t xml:space="preserve"> where investors purchase tokens to fund new green installations. </w:t>
      </w:r>
      <w:r>
        <w:rPr>
          <w:b/>
          <w:bCs/>
        </w:rPr>
        <w:t>Peer-to-peer trading interfaces</w:t>
      </w:r>
      <w:r>
        <w:t xml:space="preserve"> might let consumers buy locally generated green energy tokens directly from producers, bypassing traditional utilities. Additionally, </w:t>
      </w:r>
      <w:r>
        <w:rPr>
          <w:b/>
          <w:bCs/>
        </w:rPr>
        <w:t>secondary services</w:t>
      </w:r>
      <w:r>
        <w:t xml:space="preserve"> like green certificate trading (for renewable energy credits) can be integrated, as well as </w:t>
      </w:r>
      <w:r>
        <w:rPr>
          <w:b/>
          <w:bCs/>
        </w:rPr>
        <w:t>governance mechanisms</w:t>
      </w:r>
      <w:r>
        <w:t xml:space="preserve"> for community energy projects (token holders voting on project decisions, etc.). The marketplace layer would handle diverse participants – prosumers, consumers, aggregators, investors, even traditional utilities – each using tokens according to their needs (for example, a company buying tokens to offset its carbon footprint with renewable credits). Crucially, this layer must interface with existing energy systems (markets and grids) to be meaningful; for example, tokens might be redeemable for actual energy supply or for fiat via regulated entities.</w:t>
      </w:r>
    </w:p>
    <w:p w14:paraId="5979C307" w14:textId="77777777" w:rsidR="003E3B62" w:rsidRDefault="003E3B62" w:rsidP="00E220EB">
      <w:pPr>
        <w:pStyle w:val="NormalWeb"/>
        <w:rPr>
          <w:rFonts w:eastAsia="Times New Roman"/>
        </w:rPr>
      </w:pPr>
    </w:p>
    <w:p w14:paraId="25AB9E6F" w14:textId="77777777" w:rsidR="003E3B62" w:rsidRDefault="003E3B62" w:rsidP="00E220EB">
      <w:pPr>
        <w:pStyle w:val="NormalWeb"/>
        <w:rPr>
          <w:rFonts w:eastAsia="Times New Roman"/>
        </w:rPr>
      </w:pPr>
    </w:p>
    <w:p w14:paraId="7C20B340" w14:textId="77777777" w:rsidR="003E3B62" w:rsidRDefault="003E3B62" w:rsidP="00E220EB">
      <w:pPr>
        <w:pStyle w:val="NormalWeb"/>
        <w:rPr>
          <w:rFonts w:eastAsia="Times New Roman"/>
        </w:rPr>
      </w:pPr>
    </w:p>
    <w:p w14:paraId="5969AD24" w14:textId="77777777" w:rsidR="00382539" w:rsidRPr="00382539" w:rsidRDefault="007F306B" w:rsidP="00382539">
      <w:pPr>
        <w:pStyle w:val="Bibliography"/>
        <w:rPr>
          <w:rFonts w:ascii="Times New Roman" w:hAnsi="Times New Roman" w:cs="Times New Roman"/>
          <w:lang w:val="en-US"/>
        </w:rPr>
      </w:pPr>
      <w:r>
        <w:rPr>
          <w:rFonts w:eastAsia="Times New Roman"/>
        </w:rPr>
        <w:lastRenderedPageBreak/>
        <w:fldChar w:fldCharType="begin"/>
      </w:r>
      <w:r>
        <w:rPr>
          <w:rFonts w:eastAsia="Times New Roman"/>
        </w:rPr>
        <w:instrText xml:space="preserve"> ADDIN ZOTERO_BIBL {"uncited":[],"omitted":[],"custom":[]} CSL_BIBLIOGRAPHY </w:instrText>
      </w:r>
      <w:r>
        <w:rPr>
          <w:rFonts w:eastAsia="Times New Roman"/>
        </w:rPr>
        <w:fldChar w:fldCharType="separate"/>
      </w:r>
      <w:r w:rsidR="00382539" w:rsidRPr="00382539">
        <w:rPr>
          <w:rFonts w:ascii="Times New Roman" w:hAnsi="Times New Roman" w:cs="Times New Roman"/>
          <w:lang w:val="en-US"/>
        </w:rPr>
        <w:t>[1]</w:t>
      </w:r>
      <w:r w:rsidR="00382539" w:rsidRPr="00382539">
        <w:rPr>
          <w:rFonts w:ascii="Times New Roman" w:hAnsi="Times New Roman" w:cs="Times New Roman"/>
          <w:lang w:val="en-US"/>
        </w:rPr>
        <w:tab/>
        <w:t>R. Sengupta, “Deye Launches AI-powered ‘Deye Copilot’ For Australia,” TaiyangNews - All About Solar Power. Accessed: Jan. 28, 2026. [Online]. Available: https://taiyangnews.info/technology/deye-technologies-copilot-ai-virtual-assistant-australia</w:t>
      </w:r>
    </w:p>
    <w:p w14:paraId="46241E5C" w14:textId="77777777" w:rsidR="00382539" w:rsidRPr="00382539" w:rsidRDefault="00382539" w:rsidP="00382539">
      <w:pPr>
        <w:pStyle w:val="Bibliography"/>
        <w:rPr>
          <w:rFonts w:ascii="Times New Roman" w:hAnsi="Times New Roman" w:cs="Times New Roman"/>
          <w:lang w:val="en-US"/>
        </w:rPr>
      </w:pPr>
      <w:r w:rsidRPr="00382539">
        <w:rPr>
          <w:rFonts w:ascii="Times New Roman" w:hAnsi="Times New Roman" w:cs="Times New Roman"/>
          <w:lang w:val="en-US"/>
        </w:rPr>
        <w:t>[2]</w:t>
      </w:r>
      <w:r w:rsidRPr="00382539">
        <w:rPr>
          <w:rFonts w:ascii="Times New Roman" w:hAnsi="Times New Roman" w:cs="Times New Roman"/>
          <w:lang w:val="en-US"/>
        </w:rPr>
        <w:tab/>
        <w:t xml:space="preserve"> pv magazine, “‘Deye Copilot’: AI-Driven ‘Energy Saver’ Builds a Multi-Layered Revenue Model for Energy Storage,” pv magazine International. Accessed: Jan. 28, 2026. [Online]. Available: https://www.pv-magazine.com/press-releases/deye-copilot-ai-driven-energy-saver-builds-a-multi-layered-revenue-model-for-energy-storage/</w:t>
      </w:r>
    </w:p>
    <w:p w14:paraId="72AD98EB" w14:textId="77777777" w:rsidR="00382539" w:rsidRPr="00382539" w:rsidRDefault="00382539" w:rsidP="00382539">
      <w:pPr>
        <w:pStyle w:val="Bibliography"/>
        <w:rPr>
          <w:rFonts w:ascii="Times New Roman" w:hAnsi="Times New Roman" w:cs="Times New Roman"/>
          <w:lang w:val="en-US"/>
        </w:rPr>
      </w:pPr>
      <w:r w:rsidRPr="00382539">
        <w:rPr>
          <w:rFonts w:ascii="Times New Roman" w:hAnsi="Times New Roman" w:cs="Times New Roman"/>
          <w:lang w:val="en-US"/>
        </w:rPr>
        <w:t>[3]</w:t>
      </w:r>
      <w:r w:rsidRPr="00382539">
        <w:rPr>
          <w:rFonts w:ascii="Times New Roman" w:hAnsi="Times New Roman" w:cs="Times New Roman"/>
          <w:lang w:val="en-US"/>
        </w:rPr>
        <w:tab/>
        <w:t>“Deye copilot,” Power Forum - Renewable Energy Discussion. Accessed: Jan. 29, 2026. [Online]. Available: https://powerforum.co.za/topic/32057-deye-copilot/</w:t>
      </w:r>
    </w:p>
    <w:p w14:paraId="08D065FC" w14:textId="77777777" w:rsidR="00382539" w:rsidRPr="00382539" w:rsidRDefault="00382539" w:rsidP="00382539">
      <w:pPr>
        <w:pStyle w:val="Bibliography"/>
        <w:rPr>
          <w:rFonts w:ascii="Times New Roman" w:hAnsi="Times New Roman" w:cs="Times New Roman"/>
          <w:lang w:val="en-US"/>
        </w:rPr>
      </w:pPr>
      <w:r w:rsidRPr="00382539">
        <w:rPr>
          <w:rFonts w:ascii="Times New Roman" w:hAnsi="Times New Roman" w:cs="Times New Roman"/>
          <w:lang w:val="en-US"/>
        </w:rPr>
        <w:t>[4]</w:t>
      </w:r>
      <w:r w:rsidRPr="00382539">
        <w:rPr>
          <w:rFonts w:ascii="Times New Roman" w:hAnsi="Times New Roman" w:cs="Times New Roman"/>
          <w:lang w:val="en-US"/>
        </w:rPr>
        <w:tab/>
        <w:t>“Why ‘Green Energy + DePIN + AI’ is the Optimal Asset for RWA?” Accessed: Jan. 29, 2026. [Online]. Available: https://www.gate.com/learn/articles/why-green-energy-depin-ai-is-the-optimal-asset-for-rwa/3824</w:t>
      </w:r>
    </w:p>
    <w:p w14:paraId="7D7ED815" w14:textId="3DE53CB4" w:rsidR="007F306B" w:rsidRDefault="007F306B" w:rsidP="00382539">
      <w:pPr>
        <w:pStyle w:val="Bibliography"/>
        <w:rPr>
          <w:rFonts w:eastAsia="Times New Roman"/>
        </w:rPr>
      </w:pPr>
      <w:r>
        <w:rPr>
          <w:rFonts w:eastAsia="Times New Roman"/>
        </w:rPr>
        <w:fldChar w:fldCharType="end"/>
      </w:r>
    </w:p>
    <w:p w14:paraId="2AF3ED6D" w14:textId="77777777" w:rsidR="007F306B" w:rsidRDefault="007F306B" w:rsidP="00E220EB">
      <w:pPr>
        <w:pStyle w:val="NormalWeb"/>
        <w:rPr>
          <w:rFonts w:eastAsia="Times New Roman"/>
        </w:rPr>
      </w:pPr>
    </w:p>
    <w:p w14:paraId="78482C30" w14:textId="3EAB32D5" w:rsidR="0036364B" w:rsidRPr="00E220EB" w:rsidRDefault="0036364B" w:rsidP="00E220EB">
      <w:pPr>
        <w:pStyle w:val="NormalWeb"/>
        <w:rPr>
          <w:rFonts w:eastAsia="Times New Roman"/>
          <w:lang w:val="en-US"/>
        </w:rPr>
      </w:pPr>
    </w:p>
    <w:sectPr w:rsidR="0036364B" w:rsidRPr="00E220EB">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54E5" w14:textId="77777777" w:rsidR="00512972" w:rsidRDefault="00512972" w:rsidP="00A739CC">
      <w:r>
        <w:separator/>
      </w:r>
    </w:p>
  </w:endnote>
  <w:endnote w:type="continuationSeparator" w:id="0">
    <w:p w14:paraId="76DA3A4A" w14:textId="77777777" w:rsidR="00512972" w:rsidRDefault="00512972" w:rsidP="00A73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1823858"/>
      <w:docPartObj>
        <w:docPartGallery w:val="Page Numbers (Bottom of Page)"/>
        <w:docPartUnique/>
      </w:docPartObj>
    </w:sdtPr>
    <w:sdtContent>
      <w:p w14:paraId="3584D5A8" w14:textId="1F128050" w:rsidR="00056C76" w:rsidRDefault="00056C76" w:rsidP="00F91E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1AA6FB" w14:textId="77777777" w:rsidR="00056C76" w:rsidRDefault="00056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746644"/>
      <w:docPartObj>
        <w:docPartGallery w:val="Page Numbers (Bottom of Page)"/>
        <w:docPartUnique/>
      </w:docPartObj>
    </w:sdtPr>
    <w:sdtContent>
      <w:p w14:paraId="473925D4" w14:textId="6C4E3728" w:rsidR="00056C76" w:rsidRDefault="00056C76" w:rsidP="00F91E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FBC81F" w14:textId="77777777" w:rsidR="00056C76" w:rsidRDefault="00056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A1194" w14:textId="77777777" w:rsidR="00512972" w:rsidRDefault="00512972" w:rsidP="00A739CC">
      <w:r>
        <w:separator/>
      </w:r>
    </w:p>
  </w:footnote>
  <w:footnote w:type="continuationSeparator" w:id="0">
    <w:p w14:paraId="2D923241" w14:textId="77777777" w:rsidR="00512972" w:rsidRDefault="00512972" w:rsidP="00A739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A3E41"/>
    <w:multiLevelType w:val="hybridMultilevel"/>
    <w:tmpl w:val="AFA28C3E"/>
    <w:lvl w:ilvl="0" w:tplc="F07698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E106D9"/>
    <w:multiLevelType w:val="hybridMultilevel"/>
    <w:tmpl w:val="A504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554AF"/>
    <w:multiLevelType w:val="hybridMultilevel"/>
    <w:tmpl w:val="2CBA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5925"/>
    <w:multiLevelType w:val="hybridMultilevel"/>
    <w:tmpl w:val="4C54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40B8A"/>
    <w:multiLevelType w:val="hybridMultilevel"/>
    <w:tmpl w:val="AFB66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EF1A26"/>
    <w:multiLevelType w:val="hybridMultilevel"/>
    <w:tmpl w:val="A3C2CA06"/>
    <w:lvl w:ilvl="0" w:tplc="43BAA92C">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BF18DC"/>
    <w:multiLevelType w:val="hybridMultilevel"/>
    <w:tmpl w:val="EAAE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241D8"/>
    <w:multiLevelType w:val="hybridMultilevel"/>
    <w:tmpl w:val="A0D0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61CE5"/>
    <w:multiLevelType w:val="hybridMultilevel"/>
    <w:tmpl w:val="457C1B44"/>
    <w:lvl w:ilvl="0" w:tplc="6EB22968">
      <w:start w:val="1"/>
      <w:numFmt w:val="bullet"/>
      <w:lvlText w:val=""/>
      <w:lvlJc w:val="left"/>
      <w:pPr>
        <w:ind w:left="0" w:firstLine="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EF0513"/>
    <w:multiLevelType w:val="hybridMultilevel"/>
    <w:tmpl w:val="BCCECD8A"/>
    <w:lvl w:ilvl="0" w:tplc="96F6BF22">
      <w:start w:val="1"/>
      <w:numFmt w:val="bullet"/>
      <w:lvlText w:val=""/>
      <w:lvlJc w:val="left"/>
      <w:pPr>
        <w:ind w:left="113" w:hanging="56"/>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1A63A6"/>
    <w:multiLevelType w:val="hybridMultilevel"/>
    <w:tmpl w:val="156AF0C8"/>
    <w:lvl w:ilvl="0" w:tplc="F9E45012">
      <w:start w:val="1"/>
      <w:numFmt w:val="bullet"/>
      <w:lvlText w:val=""/>
      <w:lvlJc w:val="left"/>
      <w:pPr>
        <w:ind w:left="0" w:firstLine="57"/>
      </w:pPr>
      <w:rPr>
        <w:rFonts w:ascii="Symbol" w:eastAsiaTheme="minorEastAsia" w:hAnsi="Symbol" w:cstheme="minorBidi" w:hint="default"/>
      </w:rPr>
    </w:lvl>
    <w:lvl w:ilvl="1" w:tplc="08090003" w:tentative="1">
      <w:start w:val="1"/>
      <w:numFmt w:val="bullet"/>
      <w:lvlText w:val="o"/>
      <w:lvlJc w:val="left"/>
      <w:pPr>
        <w:ind w:left="1497" w:hanging="360"/>
      </w:pPr>
      <w:rPr>
        <w:rFonts w:ascii="Courier New" w:hAnsi="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2" w15:restartNumberingAfterBreak="0">
    <w:nsid w:val="62B87BC7"/>
    <w:multiLevelType w:val="hybridMultilevel"/>
    <w:tmpl w:val="B168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464F00"/>
    <w:multiLevelType w:val="hybridMultilevel"/>
    <w:tmpl w:val="B9D6F816"/>
    <w:lvl w:ilvl="0" w:tplc="6374C5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0A3428"/>
    <w:multiLevelType w:val="hybridMultilevel"/>
    <w:tmpl w:val="BFA485D0"/>
    <w:lvl w:ilvl="0" w:tplc="35AA2F9C">
      <w:start w:val="1"/>
      <w:numFmt w:val="bullet"/>
      <w:lvlText w:val=""/>
      <w:lvlJc w:val="left"/>
      <w:pPr>
        <w:ind w:left="720" w:hanging="663"/>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4A03B1"/>
    <w:multiLevelType w:val="hybridMultilevel"/>
    <w:tmpl w:val="9FFAC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2C281F"/>
    <w:multiLevelType w:val="hybridMultilevel"/>
    <w:tmpl w:val="B04A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1961E6"/>
    <w:multiLevelType w:val="hybridMultilevel"/>
    <w:tmpl w:val="1E54D06E"/>
    <w:lvl w:ilvl="0" w:tplc="BF1ACD62">
      <w:start w:val="1"/>
      <w:numFmt w:val="bullet"/>
      <w:lvlText w:val=""/>
      <w:lvlJc w:val="left"/>
      <w:pPr>
        <w:ind w:left="57" w:firstLine="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5305090">
    <w:abstractNumId w:val="1"/>
  </w:num>
  <w:num w:numId="2" w16cid:durableId="1208493095">
    <w:abstractNumId w:val="13"/>
  </w:num>
  <w:num w:numId="3" w16cid:durableId="167062740">
    <w:abstractNumId w:val="15"/>
  </w:num>
  <w:num w:numId="4" w16cid:durableId="317881166">
    <w:abstractNumId w:val="6"/>
  </w:num>
  <w:num w:numId="5" w16cid:durableId="894698768">
    <w:abstractNumId w:val="14"/>
  </w:num>
  <w:num w:numId="6" w16cid:durableId="367460856">
    <w:abstractNumId w:val="10"/>
  </w:num>
  <w:num w:numId="7" w16cid:durableId="959263133">
    <w:abstractNumId w:val="17"/>
  </w:num>
  <w:num w:numId="8" w16cid:durableId="268435830">
    <w:abstractNumId w:val="11"/>
  </w:num>
  <w:num w:numId="9" w16cid:durableId="2000840008">
    <w:abstractNumId w:val="9"/>
  </w:num>
  <w:num w:numId="10" w16cid:durableId="1688678467">
    <w:abstractNumId w:val="0"/>
  </w:num>
  <w:num w:numId="11" w16cid:durableId="677074725">
    <w:abstractNumId w:val="16"/>
  </w:num>
  <w:num w:numId="12" w16cid:durableId="128524396">
    <w:abstractNumId w:val="3"/>
  </w:num>
  <w:num w:numId="13" w16cid:durableId="2101676156">
    <w:abstractNumId w:val="8"/>
  </w:num>
  <w:num w:numId="14" w16cid:durableId="406998144">
    <w:abstractNumId w:val="4"/>
  </w:num>
  <w:num w:numId="15" w16cid:durableId="1364209755">
    <w:abstractNumId w:val="12"/>
  </w:num>
  <w:num w:numId="16" w16cid:durableId="2016883782">
    <w:abstractNumId w:val="7"/>
  </w:num>
  <w:num w:numId="17" w16cid:durableId="2076585727">
    <w:abstractNumId w:val="5"/>
  </w:num>
  <w:num w:numId="18" w16cid:durableId="2007517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73"/>
    <w:rsid w:val="000057CB"/>
    <w:rsid w:val="00026D1A"/>
    <w:rsid w:val="00032513"/>
    <w:rsid w:val="0003703E"/>
    <w:rsid w:val="0003713D"/>
    <w:rsid w:val="00045038"/>
    <w:rsid w:val="00056C76"/>
    <w:rsid w:val="00064AE8"/>
    <w:rsid w:val="000778C3"/>
    <w:rsid w:val="0008170F"/>
    <w:rsid w:val="0009691E"/>
    <w:rsid w:val="000A1E23"/>
    <w:rsid w:val="000C562B"/>
    <w:rsid w:val="000E1C1A"/>
    <w:rsid w:val="000F0E11"/>
    <w:rsid w:val="00122F92"/>
    <w:rsid w:val="001317A3"/>
    <w:rsid w:val="00163126"/>
    <w:rsid w:val="001A26B7"/>
    <w:rsid w:val="001B2678"/>
    <w:rsid w:val="001B289A"/>
    <w:rsid w:val="001B4DE9"/>
    <w:rsid w:val="001E03C9"/>
    <w:rsid w:val="001F298A"/>
    <w:rsid w:val="001F62F0"/>
    <w:rsid w:val="00201897"/>
    <w:rsid w:val="0020433A"/>
    <w:rsid w:val="00227819"/>
    <w:rsid w:val="0024539F"/>
    <w:rsid w:val="0026124C"/>
    <w:rsid w:val="00272ED7"/>
    <w:rsid w:val="0027355D"/>
    <w:rsid w:val="00273B23"/>
    <w:rsid w:val="00280622"/>
    <w:rsid w:val="0028603D"/>
    <w:rsid w:val="00295A43"/>
    <w:rsid w:val="002A18CF"/>
    <w:rsid w:val="002B593B"/>
    <w:rsid w:val="002D4841"/>
    <w:rsid w:val="002D7F7B"/>
    <w:rsid w:val="00300F45"/>
    <w:rsid w:val="00301E48"/>
    <w:rsid w:val="00306E97"/>
    <w:rsid w:val="003259F8"/>
    <w:rsid w:val="00336259"/>
    <w:rsid w:val="00337699"/>
    <w:rsid w:val="003503FC"/>
    <w:rsid w:val="0036364B"/>
    <w:rsid w:val="00380232"/>
    <w:rsid w:val="0038092E"/>
    <w:rsid w:val="00382539"/>
    <w:rsid w:val="00382D07"/>
    <w:rsid w:val="00392C5B"/>
    <w:rsid w:val="003A2914"/>
    <w:rsid w:val="003A2D8A"/>
    <w:rsid w:val="003A3742"/>
    <w:rsid w:val="003A3F48"/>
    <w:rsid w:val="003A57F5"/>
    <w:rsid w:val="003C3DCD"/>
    <w:rsid w:val="003E23FA"/>
    <w:rsid w:val="003E3B62"/>
    <w:rsid w:val="003E4814"/>
    <w:rsid w:val="003E4A38"/>
    <w:rsid w:val="003F00E8"/>
    <w:rsid w:val="00406227"/>
    <w:rsid w:val="00420381"/>
    <w:rsid w:val="00427A16"/>
    <w:rsid w:val="0045369F"/>
    <w:rsid w:val="00454913"/>
    <w:rsid w:val="0046097A"/>
    <w:rsid w:val="004B3E58"/>
    <w:rsid w:val="004B4071"/>
    <w:rsid w:val="004E4483"/>
    <w:rsid w:val="004F09E9"/>
    <w:rsid w:val="004F4CA4"/>
    <w:rsid w:val="004F702F"/>
    <w:rsid w:val="00512972"/>
    <w:rsid w:val="0051704E"/>
    <w:rsid w:val="005349E3"/>
    <w:rsid w:val="00544C66"/>
    <w:rsid w:val="00556D7C"/>
    <w:rsid w:val="00561491"/>
    <w:rsid w:val="00563B64"/>
    <w:rsid w:val="00584B64"/>
    <w:rsid w:val="005903E8"/>
    <w:rsid w:val="005A66F1"/>
    <w:rsid w:val="005B0551"/>
    <w:rsid w:val="005C0533"/>
    <w:rsid w:val="005C2600"/>
    <w:rsid w:val="005D1D25"/>
    <w:rsid w:val="00600A19"/>
    <w:rsid w:val="00604FDF"/>
    <w:rsid w:val="00610D5F"/>
    <w:rsid w:val="0061264F"/>
    <w:rsid w:val="0062498C"/>
    <w:rsid w:val="00626381"/>
    <w:rsid w:val="00634EB0"/>
    <w:rsid w:val="00635637"/>
    <w:rsid w:val="006374B2"/>
    <w:rsid w:val="00663809"/>
    <w:rsid w:val="0067077A"/>
    <w:rsid w:val="006719B2"/>
    <w:rsid w:val="0067465B"/>
    <w:rsid w:val="00687C5B"/>
    <w:rsid w:val="0069398D"/>
    <w:rsid w:val="006B3579"/>
    <w:rsid w:val="006B791B"/>
    <w:rsid w:val="006C0813"/>
    <w:rsid w:val="006E623A"/>
    <w:rsid w:val="006F1109"/>
    <w:rsid w:val="006F7982"/>
    <w:rsid w:val="007006F6"/>
    <w:rsid w:val="00746AB5"/>
    <w:rsid w:val="00747129"/>
    <w:rsid w:val="00757869"/>
    <w:rsid w:val="0076606E"/>
    <w:rsid w:val="00772F6E"/>
    <w:rsid w:val="00782599"/>
    <w:rsid w:val="007870EC"/>
    <w:rsid w:val="00793832"/>
    <w:rsid w:val="007B360C"/>
    <w:rsid w:val="007C0FF8"/>
    <w:rsid w:val="007E15DE"/>
    <w:rsid w:val="007E4561"/>
    <w:rsid w:val="007F306B"/>
    <w:rsid w:val="00807480"/>
    <w:rsid w:val="0081428C"/>
    <w:rsid w:val="008259C3"/>
    <w:rsid w:val="008414F5"/>
    <w:rsid w:val="00847DDA"/>
    <w:rsid w:val="00853C27"/>
    <w:rsid w:val="008565BE"/>
    <w:rsid w:val="00862853"/>
    <w:rsid w:val="0086661F"/>
    <w:rsid w:val="00871366"/>
    <w:rsid w:val="00882FBF"/>
    <w:rsid w:val="00883CE3"/>
    <w:rsid w:val="00891305"/>
    <w:rsid w:val="008B4DD3"/>
    <w:rsid w:val="008B5204"/>
    <w:rsid w:val="008C1922"/>
    <w:rsid w:val="008D5163"/>
    <w:rsid w:val="008F68E4"/>
    <w:rsid w:val="009008E7"/>
    <w:rsid w:val="00901043"/>
    <w:rsid w:val="00911A85"/>
    <w:rsid w:val="00926026"/>
    <w:rsid w:val="0095501B"/>
    <w:rsid w:val="00970D9E"/>
    <w:rsid w:val="00973C04"/>
    <w:rsid w:val="00983A9B"/>
    <w:rsid w:val="009A1898"/>
    <w:rsid w:val="009B1EC5"/>
    <w:rsid w:val="009E44FD"/>
    <w:rsid w:val="009F6598"/>
    <w:rsid w:val="00A0791F"/>
    <w:rsid w:val="00A152E8"/>
    <w:rsid w:val="00A174E7"/>
    <w:rsid w:val="00A24908"/>
    <w:rsid w:val="00A3159B"/>
    <w:rsid w:val="00A33A5E"/>
    <w:rsid w:val="00A429D7"/>
    <w:rsid w:val="00A6213E"/>
    <w:rsid w:val="00A739CC"/>
    <w:rsid w:val="00A769DE"/>
    <w:rsid w:val="00AD0087"/>
    <w:rsid w:val="00AD1AAE"/>
    <w:rsid w:val="00AE05F3"/>
    <w:rsid w:val="00B0217C"/>
    <w:rsid w:val="00B213B7"/>
    <w:rsid w:val="00B21F9E"/>
    <w:rsid w:val="00B340AB"/>
    <w:rsid w:val="00B431C0"/>
    <w:rsid w:val="00B51D4B"/>
    <w:rsid w:val="00B521D0"/>
    <w:rsid w:val="00B55D03"/>
    <w:rsid w:val="00B57011"/>
    <w:rsid w:val="00B625E8"/>
    <w:rsid w:val="00B67E2D"/>
    <w:rsid w:val="00B87238"/>
    <w:rsid w:val="00B95E60"/>
    <w:rsid w:val="00B9619A"/>
    <w:rsid w:val="00B971BD"/>
    <w:rsid w:val="00B97C77"/>
    <w:rsid w:val="00BB22C0"/>
    <w:rsid w:val="00BB3733"/>
    <w:rsid w:val="00BC3429"/>
    <w:rsid w:val="00BE4A7C"/>
    <w:rsid w:val="00BF0773"/>
    <w:rsid w:val="00C011D9"/>
    <w:rsid w:val="00C207D9"/>
    <w:rsid w:val="00C24103"/>
    <w:rsid w:val="00C256C4"/>
    <w:rsid w:val="00C3588E"/>
    <w:rsid w:val="00C361AD"/>
    <w:rsid w:val="00C522E5"/>
    <w:rsid w:val="00C93D1D"/>
    <w:rsid w:val="00C97FBA"/>
    <w:rsid w:val="00CB3B2E"/>
    <w:rsid w:val="00CB71F6"/>
    <w:rsid w:val="00CB7A16"/>
    <w:rsid w:val="00CC2BA8"/>
    <w:rsid w:val="00CE447B"/>
    <w:rsid w:val="00CF1CBB"/>
    <w:rsid w:val="00CF3E73"/>
    <w:rsid w:val="00CF5314"/>
    <w:rsid w:val="00D052EB"/>
    <w:rsid w:val="00D11329"/>
    <w:rsid w:val="00D12160"/>
    <w:rsid w:val="00D17CEB"/>
    <w:rsid w:val="00D364D4"/>
    <w:rsid w:val="00D43FAB"/>
    <w:rsid w:val="00D4526E"/>
    <w:rsid w:val="00D45F73"/>
    <w:rsid w:val="00D475C7"/>
    <w:rsid w:val="00D55556"/>
    <w:rsid w:val="00D6353E"/>
    <w:rsid w:val="00D7373D"/>
    <w:rsid w:val="00DB199C"/>
    <w:rsid w:val="00DB1CD0"/>
    <w:rsid w:val="00DC0861"/>
    <w:rsid w:val="00DC0C53"/>
    <w:rsid w:val="00DE68E4"/>
    <w:rsid w:val="00DF2F82"/>
    <w:rsid w:val="00DF3737"/>
    <w:rsid w:val="00E13CA3"/>
    <w:rsid w:val="00E1728B"/>
    <w:rsid w:val="00E220EB"/>
    <w:rsid w:val="00E236F1"/>
    <w:rsid w:val="00E50D17"/>
    <w:rsid w:val="00E56CA7"/>
    <w:rsid w:val="00E633A7"/>
    <w:rsid w:val="00E84A39"/>
    <w:rsid w:val="00EA23A6"/>
    <w:rsid w:val="00EA58D8"/>
    <w:rsid w:val="00EB34CE"/>
    <w:rsid w:val="00EB3610"/>
    <w:rsid w:val="00EB4135"/>
    <w:rsid w:val="00EB7F80"/>
    <w:rsid w:val="00ED351D"/>
    <w:rsid w:val="00EF0A6F"/>
    <w:rsid w:val="00EF30E1"/>
    <w:rsid w:val="00EF4A34"/>
    <w:rsid w:val="00F1183B"/>
    <w:rsid w:val="00F179B0"/>
    <w:rsid w:val="00F208EF"/>
    <w:rsid w:val="00F21550"/>
    <w:rsid w:val="00F36B02"/>
    <w:rsid w:val="00F424A7"/>
    <w:rsid w:val="00F4423D"/>
    <w:rsid w:val="00F53B81"/>
    <w:rsid w:val="00F75224"/>
    <w:rsid w:val="00F81C8C"/>
    <w:rsid w:val="00F92213"/>
    <w:rsid w:val="00FA5251"/>
    <w:rsid w:val="00FB687F"/>
    <w:rsid w:val="00FB7998"/>
    <w:rsid w:val="00FC0548"/>
    <w:rsid w:val="00FD6750"/>
    <w:rsid w:val="00FE1F20"/>
    <w:rsid w:val="00FE445F"/>
    <w:rsid w:val="00FE5DBC"/>
    <w:rsid w:val="00FF45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FAF1"/>
  <w15:chartTrackingRefBased/>
  <w15:docId w15:val="{557D91CC-F700-1943-AF5E-60C33D39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33"/>
    <w:pPr>
      <w:spacing w:before="120" w:after="120" w:line="360" w:lineRule="auto"/>
      <w:jc w:val="both"/>
    </w:pPr>
    <w:rPr>
      <w:rFonts w:ascii="Times" w:hAnsi="Times"/>
    </w:rPr>
  </w:style>
  <w:style w:type="paragraph" w:styleId="Heading1">
    <w:name w:val="heading 1"/>
    <w:basedOn w:val="Normal"/>
    <w:next w:val="Normal"/>
    <w:link w:val="Heading1Char"/>
    <w:uiPriority w:val="9"/>
    <w:qFormat/>
    <w:rsid w:val="000F0E11"/>
    <w:pPr>
      <w:keepNext/>
      <w:keepLines/>
      <w:spacing w:before="320" w:after="320"/>
      <w:outlineLvl w:val="0"/>
    </w:pPr>
    <w:rPr>
      <w:rFonts w:asciiTheme="minorEastAsia" w:eastAsiaTheme="majorEastAsia" w:hAnsiTheme="minorEastAsia" w:cstheme="majorBidi"/>
      <w:b/>
      <w:color w:val="000000" w:themeColor="text1"/>
      <w:sz w:val="28"/>
      <w:szCs w:val="32"/>
    </w:rPr>
  </w:style>
  <w:style w:type="paragraph" w:styleId="Heading2">
    <w:name w:val="heading 2"/>
    <w:basedOn w:val="Normal"/>
    <w:next w:val="Normal"/>
    <w:link w:val="Heading2Char"/>
    <w:uiPriority w:val="9"/>
    <w:unhideWhenUsed/>
    <w:qFormat/>
    <w:rsid w:val="003E3B62"/>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A26B7"/>
    <w:pPr>
      <w:keepNext/>
      <w:keepLines/>
      <w:spacing w:before="80" w:after="80"/>
      <w:outlineLvl w:val="2"/>
    </w:pPr>
    <w:rPr>
      <w:rFonts w:ascii="Times New Roman" w:eastAsiaTheme="majorEastAsia" w:hAnsi="Times New Roman"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E11"/>
    <w:rPr>
      <w:rFonts w:asciiTheme="minorEastAsia" w:eastAsiaTheme="majorEastAsia" w:hAnsiTheme="minorEastAsia" w:cstheme="majorBidi"/>
      <w:b/>
      <w:color w:val="000000" w:themeColor="text1"/>
      <w:sz w:val="28"/>
      <w:szCs w:val="32"/>
    </w:rPr>
  </w:style>
  <w:style w:type="character" w:customStyle="1" w:styleId="Heading2Char">
    <w:name w:val="Heading 2 Char"/>
    <w:basedOn w:val="DefaultParagraphFont"/>
    <w:link w:val="Heading2"/>
    <w:uiPriority w:val="9"/>
    <w:rsid w:val="003E3B62"/>
    <w:rPr>
      <w:rFonts w:ascii="Times" w:eastAsiaTheme="majorEastAsia" w:hAnsi="Times" w:cstheme="majorBidi"/>
      <w:b/>
      <w:color w:val="000000" w:themeColor="text1"/>
      <w:szCs w:val="26"/>
    </w:rPr>
  </w:style>
  <w:style w:type="paragraph" w:styleId="ListParagraph">
    <w:name w:val="List Paragraph"/>
    <w:basedOn w:val="Normal"/>
    <w:uiPriority w:val="34"/>
    <w:qFormat/>
    <w:rsid w:val="00AD0087"/>
    <w:pPr>
      <w:ind w:left="720"/>
      <w:contextualSpacing/>
    </w:pPr>
  </w:style>
  <w:style w:type="paragraph" w:styleId="FootnoteText">
    <w:name w:val="footnote text"/>
    <w:basedOn w:val="Normal"/>
    <w:link w:val="FootnoteTextChar"/>
    <w:uiPriority w:val="99"/>
    <w:semiHidden/>
    <w:unhideWhenUsed/>
    <w:rsid w:val="00A739CC"/>
    <w:rPr>
      <w:sz w:val="20"/>
      <w:szCs w:val="20"/>
    </w:rPr>
  </w:style>
  <w:style w:type="character" w:customStyle="1" w:styleId="FootnoteTextChar">
    <w:name w:val="Footnote Text Char"/>
    <w:basedOn w:val="DefaultParagraphFont"/>
    <w:link w:val="FootnoteText"/>
    <w:uiPriority w:val="99"/>
    <w:semiHidden/>
    <w:rsid w:val="00A739CC"/>
    <w:rPr>
      <w:rFonts w:ascii="Times" w:hAnsi="Times"/>
      <w:sz w:val="20"/>
      <w:szCs w:val="20"/>
    </w:rPr>
  </w:style>
  <w:style w:type="character" w:styleId="FootnoteReference">
    <w:name w:val="footnote reference"/>
    <w:basedOn w:val="DefaultParagraphFont"/>
    <w:uiPriority w:val="99"/>
    <w:semiHidden/>
    <w:unhideWhenUsed/>
    <w:rsid w:val="00A739CC"/>
    <w:rPr>
      <w:vertAlign w:val="superscript"/>
    </w:rPr>
  </w:style>
  <w:style w:type="character" w:styleId="PlaceholderText">
    <w:name w:val="Placeholder Text"/>
    <w:basedOn w:val="DefaultParagraphFont"/>
    <w:uiPriority w:val="99"/>
    <w:semiHidden/>
    <w:rsid w:val="001317A3"/>
    <w:rPr>
      <w:color w:val="808080"/>
    </w:rPr>
  </w:style>
  <w:style w:type="paragraph" w:styleId="Footer">
    <w:name w:val="footer"/>
    <w:basedOn w:val="Normal"/>
    <w:link w:val="FooterChar"/>
    <w:uiPriority w:val="99"/>
    <w:unhideWhenUsed/>
    <w:rsid w:val="00056C76"/>
    <w:pPr>
      <w:tabs>
        <w:tab w:val="center" w:pos="4513"/>
        <w:tab w:val="right" w:pos="9026"/>
      </w:tabs>
    </w:pPr>
  </w:style>
  <w:style w:type="character" w:customStyle="1" w:styleId="FooterChar">
    <w:name w:val="Footer Char"/>
    <w:basedOn w:val="DefaultParagraphFont"/>
    <w:link w:val="Footer"/>
    <w:uiPriority w:val="99"/>
    <w:rsid w:val="00056C76"/>
    <w:rPr>
      <w:rFonts w:ascii="Times" w:hAnsi="Times"/>
    </w:rPr>
  </w:style>
  <w:style w:type="character" w:styleId="PageNumber">
    <w:name w:val="page number"/>
    <w:basedOn w:val="DefaultParagraphFont"/>
    <w:uiPriority w:val="99"/>
    <w:semiHidden/>
    <w:unhideWhenUsed/>
    <w:rsid w:val="00056C76"/>
  </w:style>
  <w:style w:type="paragraph" w:styleId="Bibliography">
    <w:name w:val="Bibliography"/>
    <w:basedOn w:val="Normal"/>
    <w:next w:val="Normal"/>
    <w:uiPriority w:val="37"/>
    <w:unhideWhenUsed/>
    <w:rsid w:val="00F1183B"/>
    <w:pPr>
      <w:tabs>
        <w:tab w:val="left" w:pos="380"/>
      </w:tabs>
      <w:spacing w:after="0" w:line="240" w:lineRule="auto"/>
      <w:ind w:left="384" w:hanging="384"/>
    </w:pPr>
  </w:style>
  <w:style w:type="paragraph" w:styleId="Revision">
    <w:name w:val="Revision"/>
    <w:hidden/>
    <w:uiPriority w:val="99"/>
    <w:semiHidden/>
    <w:rsid w:val="00336259"/>
    <w:rPr>
      <w:rFonts w:ascii="Times" w:hAnsi="Times"/>
    </w:rPr>
  </w:style>
  <w:style w:type="character" w:styleId="CommentReference">
    <w:name w:val="annotation reference"/>
    <w:basedOn w:val="DefaultParagraphFont"/>
    <w:uiPriority w:val="99"/>
    <w:semiHidden/>
    <w:unhideWhenUsed/>
    <w:rsid w:val="00336259"/>
    <w:rPr>
      <w:sz w:val="21"/>
      <w:szCs w:val="21"/>
    </w:rPr>
  </w:style>
  <w:style w:type="paragraph" w:styleId="CommentText">
    <w:name w:val="annotation text"/>
    <w:basedOn w:val="Normal"/>
    <w:link w:val="CommentTextChar"/>
    <w:uiPriority w:val="99"/>
    <w:unhideWhenUsed/>
    <w:rsid w:val="00336259"/>
    <w:pPr>
      <w:jc w:val="left"/>
    </w:pPr>
  </w:style>
  <w:style w:type="character" w:customStyle="1" w:styleId="CommentTextChar">
    <w:name w:val="Comment Text Char"/>
    <w:basedOn w:val="DefaultParagraphFont"/>
    <w:link w:val="CommentText"/>
    <w:uiPriority w:val="99"/>
    <w:rsid w:val="00336259"/>
    <w:rPr>
      <w:rFonts w:ascii="Times" w:hAnsi="Times"/>
    </w:rPr>
  </w:style>
  <w:style w:type="paragraph" w:styleId="CommentSubject">
    <w:name w:val="annotation subject"/>
    <w:basedOn w:val="CommentText"/>
    <w:next w:val="CommentText"/>
    <w:link w:val="CommentSubjectChar"/>
    <w:uiPriority w:val="99"/>
    <w:semiHidden/>
    <w:unhideWhenUsed/>
    <w:rsid w:val="00336259"/>
    <w:rPr>
      <w:b/>
      <w:bCs/>
    </w:rPr>
  </w:style>
  <w:style w:type="character" w:customStyle="1" w:styleId="CommentSubjectChar">
    <w:name w:val="Comment Subject Char"/>
    <w:basedOn w:val="CommentTextChar"/>
    <w:link w:val="CommentSubject"/>
    <w:uiPriority w:val="99"/>
    <w:semiHidden/>
    <w:rsid w:val="00336259"/>
    <w:rPr>
      <w:rFonts w:ascii="Times" w:hAnsi="Times"/>
      <w:b/>
      <w:bCs/>
    </w:rPr>
  </w:style>
  <w:style w:type="paragraph" w:styleId="Caption">
    <w:name w:val="caption"/>
    <w:basedOn w:val="Normal"/>
    <w:next w:val="Normal"/>
    <w:uiPriority w:val="35"/>
    <w:unhideWhenUsed/>
    <w:qFormat/>
    <w:rsid w:val="00626381"/>
    <w:pPr>
      <w:spacing w:after="200" w:line="240" w:lineRule="auto"/>
    </w:pPr>
    <w:rPr>
      <w:iCs/>
      <w:color w:val="000000" w:themeColor="text1"/>
      <w:sz w:val="22"/>
      <w:szCs w:val="18"/>
    </w:rPr>
  </w:style>
  <w:style w:type="character" w:styleId="EndnoteReference">
    <w:name w:val="endnote reference"/>
    <w:basedOn w:val="DefaultParagraphFont"/>
    <w:uiPriority w:val="99"/>
    <w:semiHidden/>
    <w:unhideWhenUsed/>
    <w:rsid w:val="00D7373D"/>
    <w:rPr>
      <w:vertAlign w:val="superscript"/>
    </w:rPr>
  </w:style>
  <w:style w:type="character" w:styleId="Strong">
    <w:name w:val="Strong"/>
    <w:basedOn w:val="DefaultParagraphFont"/>
    <w:uiPriority w:val="22"/>
    <w:qFormat/>
    <w:rsid w:val="00EB4135"/>
    <w:rPr>
      <w:b/>
      <w:bCs/>
    </w:rPr>
  </w:style>
  <w:style w:type="paragraph" w:styleId="NormalWeb">
    <w:name w:val="Normal (Web)"/>
    <w:basedOn w:val="Normal"/>
    <w:uiPriority w:val="99"/>
    <w:unhideWhenUsed/>
    <w:rsid w:val="00584B64"/>
    <w:rPr>
      <w:rFonts w:ascii="Times New Roman" w:hAnsi="Times New Roman" w:cs="Times New Roman"/>
    </w:rPr>
  </w:style>
  <w:style w:type="character" w:styleId="HTMLCode">
    <w:name w:val="HTML Code"/>
    <w:basedOn w:val="DefaultParagraphFont"/>
    <w:uiPriority w:val="99"/>
    <w:semiHidden/>
    <w:unhideWhenUsed/>
    <w:rsid w:val="00584B6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A26B7"/>
    <w:rPr>
      <w:rFonts w:ascii="Times New Roman" w:eastAsiaTheme="majorEastAsia" w:hAnsi="Times New Roman" w:cstheme="majorBidi"/>
      <w:b/>
      <w:color w:val="000000" w:themeColor="text1"/>
    </w:rPr>
  </w:style>
  <w:style w:type="character" w:styleId="Emphasis">
    <w:name w:val="Emphasis"/>
    <w:basedOn w:val="DefaultParagraphFont"/>
    <w:uiPriority w:val="20"/>
    <w:qFormat/>
    <w:rsid w:val="00E1728B"/>
    <w:rPr>
      <w:i/>
      <w:iCs/>
    </w:rPr>
  </w:style>
  <w:style w:type="character" w:customStyle="1" w:styleId="katex-mathml">
    <w:name w:val="katex-mathml"/>
    <w:basedOn w:val="DefaultParagraphFont"/>
    <w:rsid w:val="00C361AD"/>
  </w:style>
  <w:style w:type="character" w:customStyle="1" w:styleId="mord">
    <w:name w:val="mord"/>
    <w:basedOn w:val="DefaultParagraphFont"/>
    <w:rsid w:val="00C361AD"/>
  </w:style>
  <w:style w:type="character" w:customStyle="1" w:styleId="vlist-s">
    <w:name w:val="vlist-s"/>
    <w:basedOn w:val="DefaultParagraphFont"/>
    <w:rsid w:val="00C361AD"/>
  </w:style>
  <w:style w:type="character" w:customStyle="1" w:styleId="mrel">
    <w:name w:val="mrel"/>
    <w:basedOn w:val="DefaultParagraphFont"/>
    <w:rsid w:val="00C361AD"/>
  </w:style>
  <w:style w:type="character" w:customStyle="1" w:styleId="mopen">
    <w:name w:val="mopen"/>
    <w:basedOn w:val="DefaultParagraphFont"/>
    <w:rsid w:val="00C361AD"/>
  </w:style>
  <w:style w:type="character" w:customStyle="1" w:styleId="mclose">
    <w:name w:val="mclose"/>
    <w:basedOn w:val="DefaultParagraphFont"/>
    <w:rsid w:val="00C361AD"/>
  </w:style>
  <w:style w:type="table" w:styleId="TableGrid">
    <w:name w:val="Table Grid"/>
    <w:basedOn w:val="TableNormal"/>
    <w:uiPriority w:val="39"/>
    <w:rsid w:val="004E4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7E15DE"/>
    <w:rPr>
      <w:color w:val="4472C4" w:themeColor="accent1"/>
    </w:rPr>
  </w:style>
  <w:style w:type="paragraph" w:styleId="BodyText">
    <w:name w:val="Body Text"/>
    <w:basedOn w:val="Normal"/>
    <w:link w:val="BodyTextChar"/>
    <w:qFormat/>
    <w:rsid w:val="000F0E11"/>
    <w:pPr>
      <w:spacing w:before="180" w:after="180" w:line="240" w:lineRule="auto"/>
      <w:jc w:val="left"/>
    </w:pPr>
    <w:rPr>
      <w:rFonts w:asciiTheme="minorEastAsia" w:hAnsiTheme="minorEastAsia"/>
      <w:lang w:val="en" w:eastAsia="en-US"/>
    </w:rPr>
  </w:style>
  <w:style w:type="character" w:customStyle="1" w:styleId="BodyTextChar">
    <w:name w:val="Body Text Char"/>
    <w:basedOn w:val="DefaultParagraphFont"/>
    <w:link w:val="BodyText"/>
    <w:rsid w:val="000F0E11"/>
    <w:rPr>
      <w:rFonts w:asciiTheme="minorEastAsia" w:hAnsiTheme="minorEastAsia"/>
      <w:lang w:val="en" w:eastAsia="en-US"/>
    </w:rPr>
  </w:style>
  <w:style w:type="character" w:styleId="UnresolvedMention">
    <w:name w:val="Unresolved Mention"/>
    <w:basedOn w:val="DefaultParagraphFont"/>
    <w:uiPriority w:val="99"/>
    <w:semiHidden/>
    <w:unhideWhenUsed/>
    <w:rsid w:val="00D05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4225">
      <w:bodyDiv w:val="1"/>
      <w:marLeft w:val="0"/>
      <w:marRight w:val="0"/>
      <w:marTop w:val="0"/>
      <w:marBottom w:val="0"/>
      <w:divBdr>
        <w:top w:val="none" w:sz="0" w:space="0" w:color="auto"/>
        <w:left w:val="none" w:sz="0" w:space="0" w:color="auto"/>
        <w:bottom w:val="none" w:sz="0" w:space="0" w:color="auto"/>
        <w:right w:val="none" w:sz="0" w:space="0" w:color="auto"/>
      </w:divBdr>
      <w:divsChild>
        <w:div w:id="227959665">
          <w:marLeft w:val="0"/>
          <w:marRight w:val="0"/>
          <w:marTop w:val="0"/>
          <w:marBottom w:val="0"/>
          <w:divBdr>
            <w:top w:val="none" w:sz="0" w:space="0" w:color="auto"/>
            <w:left w:val="none" w:sz="0" w:space="0" w:color="auto"/>
            <w:bottom w:val="none" w:sz="0" w:space="0" w:color="auto"/>
            <w:right w:val="none" w:sz="0" w:space="0" w:color="auto"/>
          </w:divBdr>
          <w:divsChild>
            <w:div w:id="1299413508">
              <w:marLeft w:val="0"/>
              <w:marRight w:val="0"/>
              <w:marTop w:val="0"/>
              <w:marBottom w:val="0"/>
              <w:divBdr>
                <w:top w:val="none" w:sz="0" w:space="0" w:color="auto"/>
                <w:left w:val="none" w:sz="0" w:space="0" w:color="auto"/>
                <w:bottom w:val="none" w:sz="0" w:space="0" w:color="auto"/>
                <w:right w:val="none" w:sz="0" w:space="0" w:color="auto"/>
              </w:divBdr>
              <w:divsChild>
                <w:div w:id="1515144482">
                  <w:marLeft w:val="0"/>
                  <w:marRight w:val="0"/>
                  <w:marTop w:val="0"/>
                  <w:marBottom w:val="0"/>
                  <w:divBdr>
                    <w:top w:val="none" w:sz="0" w:space="0" w:color="auto"/>
                    <w:left w:val="none" w:sz="0" w:space="0" w:color="auto"/>
                    <w:bottom w:val="none" w:sz="0" w:space="0" w:color="auto"/>
                    <w:right w:val="none" w:sz="0" w:space="0" w:color="auto"/>
                  </w:divBdr>
                  <w:divsChild>
                    <w:div w:id="1405104304">
                      <w:marLeft w:val="0"/>
                      <w:marRight w:val="0"/>
                      <w:marTop w:val="0"/>
                      <w:marBottom w:val="0"/>
                      <w:divBdr>
                        <w:top w:val="none" w:sz="0" w:space="0" w:color="auto"/>
                        <w:left w:val="none" w:sz="0" w:space="0" w:color="auto"/>
                        <w:bottom w:val="none" w:sz="0" w:space="0" w:color="auto"/>
                        <w:right w:val="none" w:sz="0" w:space="0" w:color="auto"/>
                      </w:divBdr>
                      <w:divsChild>
                        <w:div w:id="746078775">
                          <w:marLeft w:val="0"/>
                          <w:marRight w:val="0"/>
                          <w:marTop w:val="0"/>
                          <w:marBottom w:val="0"/>
                          <w:divBdr>
                            <w:top w:val="none" w:sz="0" w:space="0" w:color="auto"/>
                            <w:left w:val="none" w:sz="0" w:space="0" w:color="auto"/>
                            <w:bottom w:val="none" w:sz="0" w:space="0" w:color="auto"/>
                            <w:right w:val="none" w:sz="0" w:space="0" w:color="auto"/>
                          </w:divBdr>
                          <w:divsChild>
                            <w:div w:id="56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2424">
      <w:bodyDiv w:val="1"/>
      <w:marLeft w:val="0"/>
      <w:marRight w:val="0"/>
      <w:marTop w:val="0"/>
      <w:marBottom w:val="0"/>
      <w:divBdr>
        <w:top w:val="none" w:sz="0" w:space="0" w:color="auto"/>
        <w:left w:val="none" w:sz="0" w:space="0" w:color="auto"/>
        <w:bottom w:val="none" w:sz="0" w:space="0" w:color="auto"/>
        <w:right w:val="none" w:sz="0" w:space="0" w:color="auto"/>
      </w:divBdr>
    </w:div>
    <w:div w:id="90704705">
      <w:bodyDiv w:val="1"/>
      <w:marLeft w:val="0"/>
      <w:marRight w:val="0"/>
      <w:marTop w:val="0"/>
      <w:marBottom w:val="0"/>
      <w:divBdr>
        <w:top w:val="none" w:sz="0" w:space="0" w:color="auto"/>
        <w:left w:val="none" w:sz="0" w:space="0" w:color="auto"/>
        <w:bottom w:val="none" w:sz="0" w:space="0" w:color="auto"/>
        <w:right w:val="none" w:sz="0" w:space="0" w:color="auto"/>
      </w:divBdr>
    </w:div>
    <w:div w:id="105009133">
      <w:bodyDiv w:val="1"/>
      <w:marLeft w:val="0"/>
      <w:marRight w:val="0"/>
      <w:marTop w:val="0"/>
      <w:marBottom w:val="0"/>
      <w:divBdr>
        <w:top w:val="none" w:sz="0" w:space="0" w:color="auto"/>
        <w:left w:val="none" w:sz="0" w:space="0" w:color="auto"/>
        <w:bottom w:val="none" w:sz="0" w:space="0" w:color="auto"/>
        <w:right w:val="none" w:sz="0" w:space="0" w:color="auto"/>
      </w:divBdr>
    </w:div>
    <w:div w:id="135417582">
      <w:bodyDiv w:val="1"/>
      <w:marLeft w:val="0"/>
      <w:marRight w:val="0"/>
      <w:marTop w:val="0"/>
      <w:marBottom w:val="0"/>
      <w:divBdr>
        <w:top w:val="none" w:sz="0" w:space="0" w:color="auto"/>
        <w:left w:val="none" w:sz="0" w:space="0" w:color="auto"/>
        <w:bottom w:val="none" w:sz="0" w:space="0" w:color="auto"/>
        <w:right w:val="none" w:sz="0" w:space="0" w:color="auto"/>
      </w:divBdr>
    </w:div>
    <w:div w:id="374694154">
      <w:bodyDiv w:val="1"/>
      <w:marLeft w:val="0"/>
      <w:marRight w:val="0"/>
      <w:marTop w:val="0"/>
      <w:marBottom w:val="0"/>
      <w:divBdr>
        <w:top w:val="none" w:sz="0" w:space="0" w:color="auto"/>
        <w:left w:val="none" w:sz="0" w:space="0" w:color="auto"/>
        <w:bottom w:val="none" w:sz="0" w:space="0" w:color="auto"/>
        <w:right w:val="none" w:sz="0" w:space="0" w:color="auto"/>
      </w:divBdr>
    </w:div>
    <w:div w:id="474572180">
      <w:bodyDiv w:val="1"/>
      <w:marLeft w:val="0"/>
      <w:marRight w:val="0"/>
      <w:marTop w:val="0"/>
      <w:marBottom w:val="0"/>
      <w:divBdr>
        <w:top w:val="none" w:sz="0" w:space="0" w:color="auto"/>
        <w:left w:val="none" w:sz="0" w:space="0" w:color="auto"/>
        <w:bottom w:val="none" w:sz="0" w:space="0" w:color="auto"/>
        <w:right w:val="none" w:sz="0" w:space="0" w:color="auto"/>
      </w:divBdr>
      <w:divsChild>
        <w:div w:id="1708482033">
          <w:marLeft w:val="0"/>
          <w:marRight w:val="0"/>
          <w:marTop w:val="0"/>
          <w:marBottom w:val="0"/>
          <w:divBdr>
            <w:top w:val="none" w:sz="0" w:space="0" w:color="auto"/>
            <w:left w:val="none" w:sz="0" w:space="0" w:color="auto"/>
            <w:bottom w:val="none" w:sz="0" w:space="0" w:color="auto"/>
            <w:right w:val="none" w:sz="0" w:space="0" w:color="auto"/>
          </w:divBdr>
          <w:divsChild>
            <w:div w:id="1808620726">
              <w:marLeft w:val="0"/>
              <w:marRight w:val="0"/>
              <w:marTop w:val="0"/>
              <w:marBottom w:val="0"/>
              <w:divBdr>
                <w:top w:val="none" w:sz="0" w:space="0" w:color="auto"/>
                <w:left w:val="none" w:sz="0" w:space="0" w:color="auto"/>
                <w:bottom w:val="none" w:sz="0" w:space="0" w:color="auto"/>
                <w:right w:val="none" w:sz="0" w:space="0" w:color="auto"/>
              </w:divBdr>
              <w:divsChild>
                <w:div w:id="1540627924">
                  <w:marLeft w:val="0"/>
                  <w:marRight w:val="0"/>
                  <w:marTop w:val="0"/>
                  <w:marBottom w:val="0"/>
                  <w:divBdr>
                    <w:top w:val="none" w:sz="0" w:space="0" w:color="auto"/>
                    <w:left w:val="none" w:sz="0" w:space="0" w:color="auto"/>
                    <w:bottom w:val="none" w:sz="0" w:space="0" w:color="auto"/>
                    <w:right w:val="none" w:sz="0" w:space="0" w:color="auto"/>
                  </w:divBdr>
                  <w:divsChild>
                    <w:div w:id="1460878703">
                      <w:marLeft w:val="0"/>
                      <w:marRight w:val="0"/>
                      <w:marTop w:val="0"/>
                      <w:marBottom w:val="0"/>
                      <w:divBdr>
                        <w:top w:val="none" w:sz="0" w:space="0" w:color="auto"/>
                        <w:left w:val="none" w:sz="0" w:space="0" w:color="auto"/>
                        <w:bottom w:val="none" w:sz="0" w:space="0" w:color="auto"/>
                        <w:right w:val="none" w:sz="0" w:space="0" w:color="auto"/>
                      </w:divBdr>
                      <w:divsChild>
                        <w:div w:id="1106314729">
                          <w:marLeft w:val="0"/>
                          <w:marRight w:val="0"/>
                          <w:marTop w:val="0"/>
                          <w:marBottom w:val="0"/>
                          <w:divBdr>
                            <w:top w:val="none" w:sz="0" w:space="0" w:color="auto"/>
                            <w:left w:val="none" w:sz="0" w:space="0" w:color="auto"/>
                            <w:bottom w:val="none" w:sz="0" w:space="0" w:color="auto"/>
                            <w:right w:val="none" w:sz="0" w:space="0" w:color="auto"/>
                          </w:divBdr>
                          <w:divsChild>
                            <w:div w:id="16438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326917">
      <w:bodyDiv w:val="1"/>
      <w:marLeft w:val="0"/>
      <w:marRight w:val="0"/>
      <w:marTop w:val="0"/>
      <w:marBottom w:val="0"/>
      <w:divBdr>
        <w:top w:val="none" w:sz="0" w:space="0" w:color="auto"/>
        <w:left w:val="none" w:sz="0" w:space="0" w:color="auto"/>
        <w:bottom w:val="none" w:sz="0" w:space="0" w:color="auto"/>
        <w:right w:val="none" w:sz="0" w:space="0" w:color="auto"/>
      </w:divBdr>
    </w:div>
    <w:div w:id="813109127">
      <w:bodyDiv w:val="1"/>
      <w:marLeft w:val="0"/>
      <w:marRight w:val="0"/>
      <w:marTop w:val="0"/>
      <w:marBottom w:val="0"/>
      <w:divBdr>
        <w:top w:val="none" w:sz="0" w:space="0" w:color="auto"/>
        <w:left w:val="none" w:sz="0" w:space="0" w:color="auto"/>
        <w:bottom w:val="none" w:sz="0" w:space="0" w:color="auto"/>
        <w:right w:val="none" w:sz="0" w:space="0" w:color="auto"/>
      </w:divBdr>
    </w:div>
    <w:div w:id="907886978">
      <w:bodyDiv w:val="1"/>
      <w:marLeft w:val="0"/>
      <w:marRight w:val="0"/>
      <w:marTop w:val="0"/>
      <w:marBottom w:val="0"/>
      <w:divBdr>
        <w:top w:val="none" w:sz="0" w:space="0" w:color="auto"/>
        <w:left w:val="none" w:sz="0" w:space="0" w:color="auto"/>
        <w:bottom w:val="none" w:sz="0" w:space="0" w:color="auto"/>
        <w:right w:val="none" w:sz="0" w:space="0" w:color="auto"/>
      </w:divBdr>
    </w:div>
    <w:div w:id="936521901">
      <w:bodyDiv w:val="1"/>
      <w:marLeft w:val="0"/>
      <w:marRight w:val="0"/>
      <w:marTop w:val="0"/>
      <w:marBottom w:val="0"/>
      <w:divBdr>
        <w:top w:val="none" w:sz="0" w:space="0" w:color="auto"/>
        <w:left w:val="none" w:sz="0" w:space="0" w:color="auto"/>
        <w:bottom w:val="none" w:sz="0" w:space="0" w:color="auto"/>
        <w:right w:val="none" w:sz="0" w:space="0" w:color="auto"/>
      </w:divBdr>
    </w:div>
    <w:div w:id="1009335245">
      <w:bodyDiv w:val="1"/>
      <w:marLeft w:val="0"/>
      <w:marRight w:val="0"/>
      <w:marTop w:val="0"/>
      <w:marBottom w:val="0"/>
      <w:divBdr>
        <w:top w:val="none" w:sz="0" w:space="0" w:color="auto"/>
        <w:left w:val="none" w:sz="0" w:space="0" w:color="auto"/>
        <w:bottom w:val="none" w:sz="0" w:space="0" w:color="auto"/>
        <w:right w:val="none" w:sz="0" w:space="0" w:color="auto"/>
      </w:divBdr>
    </w:div>
    <w:div w:id="1136335450">
      <w:bodyDiv w:val="1"/>
      <w:marLeft w:val="0"/>
      <w:marRight w:val="0"/>
      <w:marTop w:val="0"/>
      <w:marBottom w:val="0"/>
      <w:divBdr>
        <w:top w:val="none" w:sz="0" w:space="0" w:color="auto"/>
        <w:left w:val="none" w:sz="0" w:space="0" w:color="auto"/>
        <w:bottom w:val="none" w:sz="0" w:space="0" w:color="auto"/>
        <w:right w:val="none" w:sz="0" w:space="0" w:color="auto"/>
      </w:divBdr>
    </w:div>
    <w:div w:id="1156264358">
      <w:bodyDiv w:val="1"/>
      <w:marLeft w:val="0"/>
      <w:marRight w:val="0"/>
      <w:marTop w:val="0"/>
      <w:marBottom w:val="0"/>
      <w:divBdr>
        <w:top w:val="none" w:sz="0" w:space="0" w:color="auto"/>
        <w:left w:val="none" w:sz="0" w:space="0" w:color="auto"/>
        <w:bottom w:val="none" w:sz="0" w:space="0" w:color="auto"/>
        <w:right w:val="none" w:sz="0" w:space="0" w:color="auto"/>
      </w:divBdr>
    </w:div>
    <w:div w:id="1212035215">
      <w:bodyDiv w:val="1"/>
      <w:marLeft w:val="0"/>
      <w:marRight w:val="0"/>
      <w:marTop w:val="0"/>
      <w:marBottom w:val="0"/>
      <w:divBdr>
        <w:top w:val="none" w:sz="0" w:space="0" w:color="auto"/>
        <w:left w:val="none" w:sz="0" w:space="0" w:color="auto"/>
        <w:bottom w:val="none" w:sz="0" w:space="0" w:color="auto"/>
        <w:right w:val="none" w:sz="0" w:space="0" w:color="auto"/>
      </w:divBdr>
    </w:div>
    <w:div w:id="1296449376">
      <w:bodyDiv w:val="1"/>
      <w:marLeft w:val="0"/>
      <w:marRight w:val="0"/>
      <w:marTop w:val="0"/>
      <w:marBottom w:val="0"/>
      <w:divBdr>
        <w:top w:val="none" w:sz="0" w:space="0" w:color="auto"/>
        <w:left w:val="none" w:sz="0" w:space="0" w:color="auto"/>
        <w:bottom w:val="none" w:sz="0" w:space="0" w:color="auto"/>
        <w:right w:val="none" w:sz="0" w:space="0" w:color="auto"/>
      </w:divBdr>
      <w:divsChild>
        <w:div w:id="77411273">
          <w:marLeft w:val="0"/>
          <w:marRight w:val="0"/>
          <w:marTop w:val="0"/>
          <w:marBottom w:val="0"/>
          <w:divBdr>
            <w:top w:val="none" w:sz="0" w:space="0" w:color="auto"/>
            <w:left w:val="none" w:sz="0" w:space="0" w:color="auto"/>
            <w:bottom w:val="none" w:sz="0" w:space="0" w:color="auto"/>
            <w:right w:val="none" w:sz="0" w:space="0" w:color="auto"/>
          </w:divBdr>
          <w:divsChild>
            <w:div w:id="101539236">
              <w:marLeft w:val="0"/>
              <w:marRight w:val="0"/>
              <w:marTop w:val="0"/>
              <w:marBottom w:val="0"/>
              <w:divBdr>
                <w:top w:val="none" w:sz="0" w:space="0" w:color="auto"/>
                <w:left w:val="none" w:sz="0" w:space="0" w:color="auto"/>
                <w:bottom w:val="none" w:sz="0" w:space="0" w:color="auto"/>
                <w:right w:val="none" w:sz="0" w:space="0" w:color="auto"/>
              </w:divBdr>
              <w:divsChild>
                <w:div w:id="1960601861">
                  <w:marLeft w:val="0"/>
                  <w:marRight w:val="0"/>
                  <w:marTop w:val="0"/>
                  <w:marBottom w:val="0"/>
                  <w:divBdr>
                    <w:top w:val="none" w:sz="0" w:space="0" w:color="auto"/>
                    <w:left w:val="none" w:sz="0" w:space="0" w:color="auto"/>
                    <w:bottom w:val="none" w:sz="0" w:space="0" w:color="auto"/>
                    <w:right w:val="none" w:sz="0" w:space="0" w:color="auto"/>
                  </w:divBdr>
                  <w:divsChild>
                    <w:div w:id="739407513">
                      <w:marLeft w:val="0"/>
                      <w:marRight w:val="0"/>
                      <w:marTop w:val="0"/>
                      <w:marBottom w:val="0"/>
                      <w:divBdr>
                        <w:top w:val="none" w:sz="0" w:space="0" w:color="auto"/>
                        <w:left w:val="none" w:sz="0" w:space="0" w:color="auto"/>
                        <w:bottom w:val="none" w:sz="0" w:space="0" w:color="auto"/>
                        <w:right w:val="none" w:sz="0" w:space="0" w:color="auto"/>
                      </w:divBdr>
                      <w:divsChild>
                        <w:div w:id="467010681">
                          <w:marLeft w:val="0"/>
                          <w:marRight w:val="0"/>
                          <w:marTop w:val="0"/>
                          <w:marBottom w:val="0"/>
                          <w:divBdr>
                            <w:top w:val="none" w:sz="0" w:space="0" w:color="auto"/>
                            <w:left w:val="none" w:sz="0" w:space="0" w:color="auto"/>
                            <w:bottom w:val="none" w:sz="0" w:space="0" w:color="auto"/>
                            <w:right w:val="none" w:sz="0" w:space="0" w:color="auto"/>
                          </w:divBdr>
                          <w:divsChild>
                            <w:div w:id="18162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91550">
      <w:bodyDiv w:val="1"/>
      <w:marLeft w:val="0"/>
      <w:marRight w:val="0"/>
      <w:marTop w:val="0"/>
      <w:marBottom w:val="0"/>
      <w:divBdr>
        <w:top w:val="none" w:sz="0" w:space="0" w:color="auto"/>
        <w:left w:val="none" w:sz="0" w:space="0" w:color="auto"/>
        <w:bottom w:val="none" w:sz="0" w:space="0" w:color="auto"/>
        <w:right w:val="none" w:sz="0" w:space="0" w:color="auto"/>
      </w:divBdr>
    </w:div>
    <w:div w:id="1531795321">
      <w:bodyDiv w:val="1"/>
      <w:marLeft w:val="0"/>
      <w:marRight w:val="0"/>
      <w:marTop w:val="0"/>
      <w:marBottom w:val="0"/>
      <w:divBdr>
        <w:top w:val="none" w:sz="0" w:space="0" w:color="auto"/>
        <w:left w:val="none" w:sz="0" w:space="0" w:color="auto"/>
        <w:bottom w:val="none" w:sz="0" w:space="0" w:color="auto"/>
        <w:right w:val="none" w:sz="0" w:space="0" w:color="auto"/>
      </w:divBdr>
    </w:div>
    <w:div w:id="1600068174">
      <w:bodyDiv w:val="1"/>
      <w:marLeft w:val="0"/>
      <w:marRight w:val="0"/>
      <w:marTop w:val="0"/>
      <w:marBottom w:val="0"/>
      <w:divBdr>
        <w:top w:val="none" w:sz="0" w:space="0" w:color="auto"/>
        <w:left w:val="none" w:sz="0" w:space="0" w:color="auto"/>
        <w:bottom w:val="none" w:sz="0" w:space="0" w:color="auto"/>
        <w:right w:val="none" w:sz="0" w:space="0" w:color="auto"/>
      </w:divBdr>
    </w:div>
    <w:div w:id="1642228828">
      <w:bodyDiv w:val="1"/>
      <w:marLeft w:val="0"/>
      <w:marRight w:val="0"/>
      <w:marTop w:val="0"/>
      <w:marBottom w:val="0"/>
      <w:divBdr>
        <w:top w:val="none" w:sz="0" w:space="0" w:color="auto"/>
        <w:left w:val="none" w:sz="0" w:space="0" w:color="auto"/>
        <w:bottom w:val="none" w:sz="0" w:space="0" w:color="auto"/>
        <w:right w:val="none" w:sz="0" w:space="0" w:color="auto"/>
      </w:divBdr>
      <w:divsChild>
        <w:div w:id="785388748">
          <w:marLeft w:val="0"/>
          <w:marRight w:val="0"/>
          <w:marTop w:val="0"/>
          <w:marBottom w:val="0"/>
          <w:divBdr>
            <w:top w:val="none" w:sz="0" w:space="0" w:color="auto"/>
            <w:left w:val="none" w:sz="0" w:space="0" w:color="auto"/>
            <w:bottom w:val="none" w:sz="0" w:space="0" w:color="auto"/>
            <w:right w:val="none" w:sz="0" w:space="0" w:color="auto"/>
          </w:divBdr>
          <w:divsChild>
            <w:div w:id="389429697">
              <w:marLeft w:val="0"/>
              <w:marRight w:val="0"/>
              <w:marTop w:val="0"/>
              <w:marBottom w:val="0"/>
              <w:divBdr>
                <w:top w:val="none" w:sz="0" w:space="0" w:color="auto"/>
                <w:left w:val="none" w:sz="0" w:space="0" w:color="auto"/>
                <w:bottom w:val="none" w:sz="0" w:space="0" w:color="auto"/>
                <w:right w:val="none" w:sz="0" w:space="0" w:color="auto"/>
              </w:divBdr>
              <w:divsChild>
                <w:div w:id="1308784736">
                  <w:marLeft w:val="0"/>
                  <w:marRight w:val="0"/>
                  <w:marTop w:val="0"/>
                  <w:marBottom w:val="0"/>
                  <w:divBdr>
                    <w:top w:val="none" w:sz="0" w:space="0" w:color="auto"/>
                    <w:left w:val="none" w:sz="0" w:space="0" w:color="auto"/>
                    <w:bottom w:val="none" w:sz="0" w:space="0" w:color="auto"/>
                    <w:right w:val="none" w:sz="0" w:space="0" w:color="auto"/>
                  </w:divBdr>
                  <w:divsChild>
                    <w:div w:id="171338561">
                      <w:marLeft w:val="0"/>
                      <w:marRight w:val="0"/>
                      <w:marTop w:val="0"/>
                      <w:marBottom w:val="0"/>
                      <w:divBdr>
                        <w:top w:val="none" w:sz="0" w:space="0" w:color="auto"/>
                        <w:left w:val="none" w:sz="0" w:space="0" w:color="auto"/>
                        <w:bottom w:val="none" w:sz="0" w:space="0" w:color="auto"/>
                        <w:right w:val="none" w:sz="0" w:space="0" w:color="auto"/>
                      </w:divBdr>
                      <w:divsChild>
                        <w:div w:id="206722645">
                          <w:marLeft w:val="0"/>
                          <w:marRight w:val="0"/>
                          <w:marTop w:val="0"/>
                          <w:marBottom w:val="0"/>
                          <w:divBdr>
                            <w:top w:val="none" w:sz="0" w:space="0" w:color="auto"/>
                            <w:left w:val="none" w:sz="0" w:space="0" w:color="auto"/>
                            <w:bottom w:val="none" w:sz="0" w:space="0" w:color="auto"/>
                            <w:right w:val="none" w:sz="0" w:space="0" w:color="auto"/>
                          </w:divBdr>
                          <w:divsChild>
                            <w:div w:id="15606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90176">
      <w:bodyDiv w:val="1"/>
      <w:marLeft w:val="0"/>
      <w:marRight w:val="0"/>
      <w:marTop w:val="0"/>
      <w:marBottom w:val="0"/>
      <w:divBdr>
        <w:top w:val="none" w:sz="0" w:space="0" w:color="auto"/>
        <w:left w:val="none" w:sz="0" w:space="0" w:color="auto"/>
        <w:bottom w:val="none" w:sz="0" w:space="0" w:color="auto"/>
        <w:right w:val="none" w:sz="0" w:space="0" w:color="auto"/>
      </w:divBdr>
    </w:div>
    <w:div w:id="1711685571">
      <w:bodyDiv w:val="1"/>
      <w:marLeft w:val="0"/>
      <w:marRight w:val="0"/>
      <w:marTop w:val="0"/>
      <w:marBottom w:val="0"/>
      <w:divBdr>
        <w:top w:val="none" w:sz="0" w:space="0" w:color="auto"/>
        <w:left w:val="none" w:sz="0" w:space="0" w:color="auto"/>
        <w:bottom w:val="none" w:sz="0" w:space="0" w:color="auto"/>
        <w:right w:val="none" w:sz="0" w:space="0" w:color="auto"/>
      </w:divBdr>
    </w:div>
    <w:div w:id="1734429268">
      <w:bodyDiv w:val="1"/>
      <w:marLeft w:val="0"/>
      <w:marRight w:val="0"/>
      <w:marTop w:val="0"/>
      <w:marBottom w:val="0"/>
      <w:divBdr>
        <w:top w:val="none" w:sz="0" w:space="0" w:color="auto"/>
        <w:left w:val="none" w:sz="0" w:space="0" w:color="auto"/>
        <w:bottom w:val="none" w:sz="0" w:space="0" w:color="auto"/>
        <w:right w:val="none" w:sz="0" w:space="0" w:color="auto"/>
      </w:divBdr>
      <w:divsChild>
        <w:div w:id="1024789904">
          <w:marLeft w:val="0"/>
          <w:marRight w:val="0"/>
          <w:marTop w:val="0"/>
          <w:marBottom w:val="0"/>
          <w:divBdr>
            <w:top w:val="none" w:sz="0" w:space="0" w:color="auto"/>
            <w:left w:val="none" w:sz="0" w:space="0" w:color="auto"/>
            <w:bottom w:val="none" w:sz="0" w:space="0" w:color="auto"/>
            <w:right w:val="none" w:sz="0" w:space="0" w:color="auto"/>
          </w:divBdr>
          <w:divsChild>
            <w:div w:id="276454701">
              <w:marLeft w:val="0"/>
              <w:marRight w:val="0"/>
              <w:marTop w:val="0"/>
              <w:marBottom w:val="0"/>
              <w:divBdr>
                <w:top w:val="none" w:sz="0" w:space="0" w:color="auto"/>
                <w:left w:val="none" w:sz="0" w:space="0" w:color="auto"/>
                <w:bottom w:val="none" w:sz="0" w:space="0" w:color="auto"/>
                <w:right w:val="none" w:sz="0" w:space="0" w:color="auto"/>
              </w:divBdr>
              <w:divsChild>
                <w:div w:id="754671950">
                  <w:marLeft w:val="0"/>
                  <w:marRight w:val="0"/>
                  <w:marTop w:val="0"/>
                  <w:marBottom w:val="0"/>
                  <w:divBdr>
                    <w:top w:val="none" w:sz="0" w:space="0" w:color="auto"/>
                    <w:left w:val="none" w:sz="0" w:space="0" w:color="auto"/>
                    <w:bottom w:val="none" w:sz="0" w:space="0" w:color="auto"/>
                    <w:right w:val="none" w:sz="0" w:space="0" w:color="auto"/>
                  </w:divBdr>
                  <w:divsChild>
                    <w:div w:id="865943531">
                      <w:marLeft w:val="0"/>
                      <w:marRight w:val="0"/>
                      <w:marTop w:val="0"/>
                      <w:marBottom w:val="0"/>
                      <w:divBdr>
                        <w:top w:val="none" w:sz="0" w:space="0" w:color="auto"/>
                        <w:left w:val="none" w:sz="0" w:space="0" w:color="auto"/>
                        <w:bottom w:val="none" w:sz="0" w:space="0" w:color="auto"/>
                        <w:right w:val="none" w:sz="0" w:space="0" w:color="auto"/>
                      </w:divBdr>
                      <w:divsChild>
                        <w:div w:id="2094082045">
                          <w:marLeft w:val="0"/>
                          <w:marRight w:val="0"/>
                          <w:marTop w:val="0"/>
                          <w:marBottom w:val="0"/>
                          <w:divBdr>
                            <w:top w:val="none" w:sz="0" w:space="0" w:color="auto"/>
                            <w:left w:val="none" w:sz="0" w:space="0" w:color="auto"/>
                            <w:bottom w:val="none" w:sz="0" w:space="0" w:color="auto"/>
                            <w:right w:val="none" w:sz="0" w:space="0" w:color="auto"/>
                          </w:divBdr>
                          <w:divsChild>
                            <w:div w:id="20078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553500">
      <w:bodyDiv w:val="1"/>
      <w:marLeft w:val="0"/>
      <w:marRight w:val="0"/>
      <w:marTop w:val="0"/>
      <w:marBottom w:val="0"/>
      <w:divBdr>
        <w:top w:val="none" w:sz="0" w:space="0" w:color="auto"/>
        <w:left w:val="none" w:sz="0" w:space="0" w:color="auto"/>
        <w:bottom w:val="none" w:sz="0" w:space="0" w:color="auto"/>
        <w:right w:val="none" w:sz="0" w:space="0" w:color="auto"/>
      </w:divBdr>
    </w:div>
    <w:div w:id="1768237218">
      <w:bodyDiv w:val="1"/>
      <w:marLeft w:val="0"/>
      <w:marRight w:val="0"/>
      <w:marTop w:val="0"/>
      <w:marBottom w:val="0"/>
      <w:divBdr>
        <w:top w:val="none" w:sz="0" w:space="0" w:color="auto"/>
        <w:left w:val="none" w:sz="0" w:space="0" w:color="auto"/>
        <w:bottom w:val="none" w:sz="0" w:space="0" w:color="auto"/>
        <w:right w:val="none" w:sz="0" w:space="0" w:color="auto"/>
      </w:divBdr>
    </w:div>
    <w:div w:id="1891571822">
      <w:bodyDiv w:val="1"/>
      <w:marLeft w:val="0"/>
      <w:marRight w:val="0"/>
      <w:marTop w:val="0"/>
      <w:marBottom w:val="0"/>
      <w:divBdr>
        <w:top w:val="none" w:sz="0" w:space="0" w:color="auto"/>
        <w:left w:val="none" w:sz="0" w:space="0" w:color="auto"/>
        <w:bottom w:val="none" w:sz="0" w:space="0" w:color="auto"/>
        <w:right w:val="none" w:sz="0" w:space="0" w:color="auto"/>
      </w:divBdr>
    </w:div>
    <w:div w:id="20170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1191E-C530-7245-909E-631E97DAC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2214</TotalTime>
  <Pages>7</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Mengzhong (SME)</dc:creator>
  <cp:keywords/>
  <dc:description/>
  <cp:lastModifiedBy>#MA MENGZHONG#</cp:lastModifiedBy>
  <cp:revision>50</cp:revision>
  <dcterms:created xsi:type="dcterms:W3CDTF">2022-11-21T23:15:00Z</dcterms:created>
  <dcterms:modified xsi:type="dcterms:W3CDTF">2026-01-29T09:46:00Z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id="vETI8RCx"/&gt;&lt;style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