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8"/>
        </w:rPr>
        <w:t>Project Identification Document</w:t>
      </w:r>
    </w:p>
    <w:p>
      <w:pPr>
        <w:spacing w:after="400"/>
        <w:jc w:val="center"/>
      </w:pPr>
      <w:r>
        <w:rPr>
          <w:rFonts w:ascii="Calibri" w:hAnsi="Calibri"/>
          <w:b/>
          <w:color w:val="2B6CB0"/>
          <w:sz w:val="32"/>
        </w:rPr>
        <w:t>Staff Training Management System</w:t>
      </w:r>
    </w:p>
    <w:p>
      <w:pPr>
        <w:pStyle w:val="Heading2"/>
        <w:spacing w:before="240" w:after="120"/>
      </w:pPr>
      <w:r>
        <w:rPr>
          <w:rFonts w:ascii="Calibri" w:hAnsi="Calibri"/>
          <w:b/>
          <w:color w:val="2B6CB0"/>
          <w:sz w:val="30"/>
        </w:rPr>
        <w:t>1. Project Name</w:t>
      </w:r>
    </w:p>
    <w:p>
      <w:pPr>
        <w:spacing w:after="240"/>
      </w:pPr>
      <w:r>
        <w:rPr>
          <w:rFonts w:ascii="Calibri" w:hAnsi="Calibri"/>
          <w:b/>
          <w:color w:val="2D3748"/>
          <w:sz w:val="24"/>
        </w:rPr>
        <w:t>Staff Training Management System</w:t>
      </w:r>
    </w:p>
    <w:p>
      <w:pPr>
        <w:pStyle w:val="Heading2"/>
        <w:spacing w:before="240" w:after="120"/>
      </w:pPr>
      <w:r>
        <w:rPr>
          <w:rFonts w:ascii="Calibri" w:hAnsi="Calibri"/>
          <w:b/>
          <w:color w:val="2B6CB0"/>
          <w:sz w:val="30"/>
        </w:rPr>
        <w:t>2. Current Problem</w:t>
      </w:r>
    </w:p>
    <w:p>
      <w:pPr>
        <w:pStyle w:val="ListBullet"/>
        <w:spacing w:after="80"/>
      </w:pPr>
      <w:r>
        <w:rPr>
          <w:rFonts w:ascii="Calibri" w:hAnsi="Calibri"/>
          <w:color w:val="2D3748"/>
          <w:sz w:val="22"/>
        </w:rPr>
        <w:t>Difficulty in tracking employee training progress, course completions, and skill development manually.</w:t>
      </w:r>
    </w:p>
    <w:p>
      <w:pPr>
        <w:pStyle w:val="ListBullet"/>
        <w:spacing w:after="80"/>
      </w:pPr>
      <w:r>
        <w:rPr>
          <w:rFonts w:ascii="Calibri" w:hAnsi="Calibri"/>
          <w:color w:val="2D3748"/>
          <w:sz w:val="22"/>
        </w:rPr>
        <w:t>Training materials, schedules, and enrollment records are disorganized or scattered across paper logs and files.</w:t>
      </w:r>
    </w:p>
    <w:p>
      <w:pPr>
        <w:pStyle w:val="ListBullet"/>
        <w:spacing w:after="80"/>
      </w:pPr>
      <w:r>
        <w:rPr>
          <w:rFonts w:ascii="Calibri" w:hAnsi="Calibri"/>
          <w:color w:val="2D3748"/>
          <w:sz w:val="22"/>
        </w:rPr>
        <w:t>Lack of automated tracking for mandatory training certifications, compliance deadlines, and skill gaps.</w:t>
      </w:r>
    </w:p>
    <w:p>
      <w:pPr>
        <w:pStyle w:val="ListBullet"/>
        <w:spacing w:after="80"/>
      </w:pPr>
      <w:r>
        <w:rPr>
          <w:rFonts w:ascii="Calibri" w:hAnsi="Calibri"/>
          <w:color w:val="2D3748"/>
          <w:sz w:val="22"/>
        </w:rPr>
        <w:t>Risk of reduced productivity, non-compliance penalties, and increased operational costs due to untrained staff.</w:t>
      </w:r>
    </w:p>
    <w:p>
      <w:pPr>
        <w:pStyle w:val="Heading2"/>
        <w:spacing w:before="240" w:after="120"/>
      </w:pPr>
      <w:r>
        <w:rPr>
          <w:rFonts w:ascii="Calibri" w:hAnsi="Calibri"/>
          <w:b/>
          <w:color w:val="2B6CB0"/>
          <w:sz w:val="30"/>
        </w:rPr>
        <w:t>3. Description About Project</w:t>
      </w:r>
    </w:p>
    <w:p>
      <w:pPr>
        <w:spacing w:after="240"/>
      </w:pPr>
      <w:r>
        <w:rPr>
          <w:rFonts w:ascii="Calibri" w:hAnsi="Calibri"/>
          <w:color w:val="2D3748"/>
          <w:sz w:val="22"/>
        </w:rPr>
        <w:t>The Staff Training Management System streamlines and automates employee learning and professional development within an organization. It allows HR and department managers to create training programs, assign courses based on job roles, and monitor individual and team progress in real time. The system enables employees to enroll in required or optional courses, complete assessments, and earn certifications. By providing automated notifications for upcoming training sessions, expiration of certifications, and performance reports, the system ensures a higher-skilled workforce, maintains regulatory compliance, and optimizes corporate training investments.</w:t>
      </w:r>
    </w:p>
    <w:p>
      <w:pPr>
        <w:pStyle w:val="Heading2"/>
        <w:spacing w:before="240" w:after="120"/>
      </w:pPr>
      <w:r>
        <w:rPr>
          <w:rFonts w:ascii="Calibri" w:hAnsi="Calibri"/>
          <w:b/>
          <w:color w:val="2B6CB0"/>
          <w:sz w:val="30"/>
        </w:rPr>
        <w:t>4. Feasibility Analysis</w:t>
      </w:r>
    </w:p>
    <w:p>
      <w:pPr>
        <w:pStyle w:val="Heading3"/>
        <w:spacing w:before="160" w:after="80"/>
      </w:pPr>
      <w:r>
        <w:rPr>
          <w:rFonts w:ascii="Calibri" w:hAnsi="Calibri"/>
          <w:b/>
          <w:color w:val="1A365D"/>
          <w:sz w:val="24"/>
        </w:rPr>
        <w:t>Technical Feasibility</w:t>
      </w:r>
    </w:p>
    <w:p>
      <w:pPr>
        <w:pStyle w:val="ListBullet"/>
        <w:spacing w:after="60"/>
      </w:pPr>
      <w:r>
        <w:rPr>
          <w:rFonts w:ascii="Calibri" w:hAnsi="Calibri"/>
          <w:b/>
          <w:color w:val="2D3748"/>
          <w:sz w:val="22"/>
        </w:rPr>
        <w:t xml:space="preserve">Tech Stack &amp; Interface: </w:t>
      </w:r>
      <w:r>
        <w:rPr>
          <w:rFonts w:ascii="Calibri" w:hAnsi="Calibri"/>
          <w:color w:val="2D3748"/>
          <w:sz w:val="22"/>
        </w:rPr>
        <w:t>Designed using HTML, CSS, and JavaScript for the frontend/web interface.</w:t>
      </w:r>
    </w:p>
    <w:p>
      <w:pPr>
        <w:pStyle w:val="ListBullet"/>
        <w:spacing w:after="60"/>
      </w:pPr>
      <w:r>
        <w:rPr>
          <w:rFonts w:ascii="Calibri" w:hAnsi="Calibri"/>
          <w:b/>
          <w:color w:val="2D3748"/>
          <w:sz w:val="22"/>
        </w:rPr>
        <w:t xml:space="preserve">Development Tools: </w:t>
      </w:r>
      <w:r>
        <w:rPr>
          <w:rFonts w:ascii="Calibri" w:hAnsi="Calibri"/>
          <w:color w:val="2D3748"/>
          <w:sz w:val="22"/>
        </w:rPr>
        <w:t>Built using modern IDEs like Visual Studio or VS Code.</w:t>
      </w:r>
    </w:p>
    <w:p>
      <w:pPr>
        <w:pStyle w:val="ListBullet"/>
        <w:spacing w:after="60"/>
      </w:pPr>
      <w:r>
        <w:rPr>
          <w:rFonts w:ascii="Calibri" w:hAnsi="Calibri"/>
          <w:b/>
          <w:color w:val="2D3748"/>
          <w:sz w:val="22"/>
        </w:rPr>
        <w:t xml:space="preserve">Connectivity: </w:t>
      </w:r>
      <w:r>
        <w:rPr>
          <w:rFonts w:ascii="Calibri" w:hAnsi="Calibri"/>
          <w:color w:val="2D3748"/>
          <w:sz w:val="22"/>
        </w:rPr>
        <w:t>Works online (cloud-based) or offline with local database syncing for internal company networks.</w:t>
      </w:r>
    </w:p>
    <w:p>
      <w:pPr>
        <w:pStyle w:val="ListBullet"/>
        <w:spacing w:after="60"/>
      </w:pPr>
      <w:r>
        <w:rPr>
          <w:rFonts w:ascii="Calibri" w:hAnsi="Calibri"/>
          <w:b/>
          <w:color w:val="2D3748"/>
          <w:sz w:val="22"/>
        </w:rPr>
        <w:t xml:space="preserve">Platform Compatibility: </w:t>
      </w:r>
      <w:r>
        <w:rPr>
          <w:rFonts w:ascii="Calibri" w:hAnsi="Calibri"/>
          <w:color w:val="2D3748"/>
          <w:sz w:val="22"/>
        </w:rPr>
        <w:t>Operates seamlessly on standard web browsers and desktop/mobile operating systems such as Windows, macOS, and Android.</w:t>
      </w:r>
    </w:p>
    <w:p>
      <w:pPr>
        <w:pStyle w:val="Heading3"/>
        <w:spacing w:before="160" w:after="80"/>
      </w:pPr>
      <w:r>
        <w:rPr>
          <w:rFonts w:ascii="Calibri" w:hAnsi="Calibri"/>
          <w:b/>
          <w:color w:val="1A365D"/>
          <w:sz w:val="24"/>
        </w:rPr>
        <w:t>Economic Feasibility</w:t>
      </w:r>
    </w:p>
    <w:p>
      <w:pPr>
        <w:pStyle w:val="ListBullet"/>
        <w:spacing w:after="60"/>
      </w:pPr>
      <w:r>
        <w:rPr>
          <w:rFonts w:ascii="Calibri" w:hAnsi="Calibri"/>
          <w:color w:val="2D3748"/>
          <w:sz w:val="22"/>
        </w:rPr>
        <w:t>Increases organizational productivity by upskilling employees faster and more efficiently.</w:t>
      </w:r>
    </w:p>
    <w:p>
      <w:pPr>
        <w:pStyle w:val="ListBullet"/>
        <w:spacing w:after="60"/>
      </w:pPr>
      <w:r>
        <w:rPr>
          <w:rFonts w:ascii="Calibri" w:hAnsi="Calibri"/>
          <w:color w:val="2D3748"/>
          <w:sz w:val="22"/>
        </w:rPr>
        <w:t>Reduces training administration overhead, venue/paper costs, and external instruction expenses through digital tracking and online course delivery.</w:t>
      </w:r>
    </w:p>
    <w:p>
      <w:pPr>
        <w:pStyle w:val="ListBullet"/>
        <w:spacing w:after="60"/>
      </w:pPr>
      <w:r>
        <w:rPr>
          <w:rFonts w:ascii="Calibri" w:hAnsi="Calibri"/>
          <w:color w:val="2D3748"/>
          <w:sz w:val="22"/>
        </w:rPr>
        <w:t>Low cost of development and highly cost-effective relative to long-term gains in employee retention and compliance risk mitigation.</w:t>
      </w:r>
    </w:p>
    <w:p>
      <w:pPr>
        <w:pStyle w:val="ListBullet"/>
        <w:spacing w:after="60"/>
      </w:pPr>
      <w:r>
        <w:rPr>
          <w:rFonts w:ascii="Calibri" w:hAnsi="Calibri"/>
          <w:color w:val="2D3748"/>
          <w:sz w:val="22"/>
        </w:rPr>
        <w:t>Scalable infrastructure supporting company growth and additional training modules without major hardware investments.</w:t>
      </w:r>
    </w:p>
    <w:p>
      <w:pPr>
        <w:pStyle w:val="Heading3"/>
        <w:spacing w:before="160" w:after="80"/>
      </w:pPr>
      <w:r>
        <w:rPr>
          <w:rFonts w:ascii="Calibri" w:hAnsi="Calibri"/>
          <w:b/>
          <w:color w:val="1A365D"/>
          <w:sz w:val="24"/>
        </w:rPr>
        <w:t>Organizational Feasibility</w:t>
      </w:r>
    </w:p>
    <w:p>
      <w:pPr>
        <w:pStyle w:val="ListBullet"/>
        <w:spacing w:after="60"/>
      </w:pPr>
      <w:r>
        <w:rPr>
          <w:rFonts w:ascii="Calibri" w:hAnsi="Calibri"/>
          <w:b/>
          <w:color w:val="2D3748"/>
          <w:sz w:val="22"/>
        </w:rPr>
        <w:t xml:space="preserve">Management Prowess: </w:t>
      </w:r>
      <w:r>
        <w:rPr>
          <w:rFonts w:ascii="Calibri" w:hAnsi="Calibri"/>
          <w:color w:val="2D3748"/>
          <w:sz w:val="22"/>
        </w:rPr>
        <w:t>Ability of HR managers, department leaders, and staff to easily navigate and utilize the intuitive system with minimal initial training.</w:t>
      </w:r>
    </w:p>
    <w:p>
      <w:pPr>
        <w:pStyle w:val="ListBullet"/>
        <w:spacing w:after="60"/>
      </w:pPr>
      <w:r>
        <w:rPr>
          <w:rFonts w:ascii="Calibri" w:hAnsi="Calibri"/>
          <w:b/>
          <w:color w:val="2D3748"/>
          <w:sz w:val="22"/>
        </w:rPr>
        <w:t xml:space="preserve">Resource Sufficiency: </w:t>
      </w:r>
      <w:r>
        <w:rPr>
          <w:rFonts w:ascii="Calibri" w:hAnsi="Calibri"/>
          <w:color w:val="2D3748"/>
          <w:sz w:val="22"/>
        </w:rPr>
        <w:t>Availability of standard office hardware (computers, laptops, tablets), reliable internet connectivity, and internal IT support.</w:t>
      </w:r>
    </w:p>
    <w:p>
      <w:pPr>
        <w:pStyle w:val="Heading2"/>
        <w:spacing w:before="240" w:after="120"/>
      </w:pPr>
      <w:r>
        <w:rPr>
          <w:rFonts w:ascii="Calibri" w:hAnsi="Calibri"/>
          <w:b/>
          <w:color w:val="2B6CB0"/>
          <w:sz w:val="30"/>
        </w:rPr>
        <w:t>5. System Request</w:t>
      </w:r>
    </w:p>
    <w:tbl>
      <w:tblPr>
        <w:tblW w:type="auto" w:w="0"/>
        <w:jc w:val="center"/>
        <w:tblLook w:firstColumn="1" w:firstRow="1" w:lastColumn="0" w:lastRow="0" w:noHBand="0" w:noVBand="1" w:val="04A0"/>
      </w:tblPr>
      <w:tblGrid>
        <w:gridCol w:w="4968"/>
        <w:gridCol w:w="4968"/>
      </w:tblGrid>
      <w:tr>
        <w:tc>
          <w:tcPr>
            <w:tcW w:type="dxa" w:w="3168"/>
            <w:shd w:fill="1A365D"/>
            <w:tcBorders>
              <w:top w:val="single" w:sz="4" w:space="0" w:color="CBD5E0"/>
              <w:left w:val="single" w:sz="4" w:space="0" w:color="CBD5E0"/>
              <w:bottom w:val="single" w:sz="4" w:space="0" w:color="CBD5E0"/>
              <w:right w:val="single" w:sz="4" w:space="0" w:color="CBD5E0"/>
            </w:tcBorders>
          </w:tcPr>
          <w:p>
            <w:r>
              <w:rPr>
                <w:rFonts w:ascii="Calibri" w:hAnsi="Calibri"/>
                <w:b/>
                <w:color w:val="FFFFFF"/>
                <w:sz w:val="22"/>
              </w:rPr>
              <w:t>Field</w:t>
            </w:r>
          </w:p>
        </w:tc>
        <w:tc>
          <w:tcPr>
            <w:tcW w:type="dxa" w:w="6768"/>
            <w:shd w:fill="1A365D"/>
            <w:tcBorders>
              <w:top w:val="single" w:sz="4" w:space="0" w:color="CBD5E0"/>
              <w:left w:val="single" w:sz="4" w:space="0" w:color="CBD5E0"/>
              <w:bottom w:val="single" w:sz="4" w:space="0" w:color="CBD5E0"/>
              <w:right w:val="single" w:sz="4" w:space="0" w:color="CBD5E0"/>
            </w:tcBorders>
          </w:tcPr>
          <w:p>
            <w:r>
              <w:rPr>
                <w:rFonts w:ascii="Calibri" w:hAnsi="Calibri"/>
                <w:b/>
                <w:color w:val="FFFFFF"/>
                <w:sz w:val="22"/>
              </w:rPr>
              <w:t>Details / Description</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System Request</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Staff Training Management System</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Project Sponsors</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Menna Moheb, Zenab Elsayed, Mariam Hany, Amany Morad, Menna Elsayed</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Business Need</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1. Eliminate paper records, manual attendance logs, and manual progress tracking.</w:t>
              <w:br/>
              <w:t>2. Centralize access to training materials and course schedules for all staff.</w:t>
              <w:br/>
              <w:t>3. Ensure continuous compliance with mandatory corporate and industry training standards.</w:t>
              <w:br/>
              <w:t>4. Provide 24/7 access for remote and flexible employee learning.</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Business Requirements</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1. Update employee training records, scores, and completion status in real-time.</w:t>
              <w:br/>
              <w:t>2. Provide multi-level user roles and access control (Administrators, Instructors, Employees).</w:t>
              <w:br/>
              <w:t>3. Integration with company databases and support for digital certificates/assessments.</w:t>
              <w:br/>
              <w:t>4. Automated notifications for upcoming training deadlines, course assignments, and certificate renewals.</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Business Value</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1. Providing accurate, centralized data on employee skills and qualifications.</w:t>
              <w:br/>
              <w:t>2. Saving administrative time during course enrollment, scheduling, and evaluation.</w:t>
              <w:br/>
              <w:t>3. Saving costs by optimizing internal training workflows and reducing compliance risks.</w:t>
              <w:br/>
              <w:t>4. Enhancing employee productivity, engagement, and career development.</w:t>
            </w:r>
          </w:p>
        </w:tc>
      </w:tr>
      <w:tr>
        <w:tc>
          <w:tcPr>
            <w:tcW w:type="dxa" w:w="3168"/>
            <w:shd w:fill="F0F4F8"/>
            <w:tcBorders>
              <w:top w:val="single" w:sz="4" w:space="0" w:color="CBD5E0"/>
              <w:left w:val="single" w:sz="4" w:space="0" w:color="CBD5E0"/>
              <w:bottom w:val="single" w:sz="4" w:space="0" w:color="CBD5E0"/>
              <w:right w:val="single" w:sz="4" w:space="0" w:color="CBD5E0"/>
            </w:tcBorders>
          </w:tcPr>
          <w:p>
            <w:r>
              <w:rPr>
                <w:rFonts w:ascii="Calibri" w:hAnsi="Calibri"/>
                <w:b/>
                <w:color w:val="1A365D"/>
                <w:sz w:val="21"/>
              </w:rPr>
              <w:t>Business Issues or Constraints</w:t>
            </w:r>
          </w:p>
        </w:tc>
        <w:tc>
          <w:tcPr>
            <w:tcW w:type="dxa" w:w="6768"/>
            <w:tcBorders>
              <w:top w:val="single" w:sz="4" w:space="0" w:color="CBD5E0"/>
              <w:left w:val="single" w:sz="4" w:space="0" w:color="CBD5E0"/>
              <w:bottom w:val="single" w:sz="4" w:space="0" w:color="CBD5E0"/>
              <w:right w:val="single" w:sz="4" w:space="0" w:color="CBD5E0"/>
            </w:tcBorders>
          </w:tcPr>
          <w:p>
            <w:r>
              <w:rPr>
                <w:rFonts w:ascii="Calibri" w:hAnsi="Calibri"/>
                <w:color w:val="2D3748"/>
                <w:sz w:val="21"/>
              </w:rPr>
              <w:t>1. Project submission/delivery deadline on 1 January.</w:t>
              <w:br/>
              <w:t>2. Regularly updating the training catalog, quiz content, and employee department records.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