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2185B"/>
          <w:sz w:val="72"/>
          <w:szCs w:val="72"/>
        </w:rPr>
        <w:t xml:space="preserve">GlowCare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F48FB1"/>
          <w:sz w:val="24"/>
          <w:szCs w:val="24"/>
        </w:rPr>
        <w:t xml:space="preserve">✦  Skincare Intelligence Platform  ✦</w:t>
      </w:r>
    </w:p>
    <w:p>
      <w:pPr>
        <w:pBdr>
          <w:top w:val="single" w:color="F48FB1" w:sz="6" w:space="2"/>
          <w:bottom w:val="single" w:color="F48FB1" w:sz="6" w:space="2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Customer Purchase Prediction Report</w:t>
      </w:r>
    </w:p>
    <w:p>
      <w:pPr>
        <w:spacing w:after="12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Machine Learning Classification Model</w:t>
      </w:r>
    </w:p>
    <w:p>
      <w:pPr>
        <w:spacing w:after="400" w:before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 Type</w:t>
            </w:r>
          </w:p>
        </w:tc>
        <w:tc>
          <w:tcPr>
            <w:tcW w:type="dxa" w:w="36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Random Forest Classifier</w:t>
            </w:r>
          </w:p>
        </w:tc>
      </w:tr>
      <w:tr>
        <w:tc>
          <w:tcPr>
            <w:tcW w:type="dxa" w:w="2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Accuracy</w:t>
            </w:r>
          </w:p>
        </w:tc>
        <w:tc>
          <w:tcPr>
            <w:tcW w:type="dxa" w:w="36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94.5%</w:t>
            </w:r>
          </w:p>
        </w:tc>
      </w:tr>
      <w:tr>
        <w:tc>
          <w:tcPr>
            <w:tcW w:type="dxa" w:w="2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Dataset</w:t>
            </w:r>
          </w:p>
        </w:tc>
        <w:tc>
          <w:tcPr>
            <w:tcW w:type="dxa" w:w="36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1,000 Customer Records</w:t>
            </w:r>
          </w:p>
        </w:tc>
      </w:tr>
      <w:tr>
        <w:tc>
          <w:tcPr>
            <w:tcW w:type="dxa" w:w="2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GlowCare AI Team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01  Project Overview</w:t>
      </w:r>
    </w:p>
    <w:p>
      <w:pPr>
        <w:pBdr>
          <w:bottom w:val="single" w:color="F48FB1" w:sz="8" w:space="1"/>
        </w:pBdr>
        <w:spacing w:after="80" w:before="80"/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This report presents the development and evaluation of a Machine Learning Classification Model built for GlowCare — a premium skincare brand and application. The model predicts whether a customer is likely to purchase the GlowCare Serum, enabling data-driven marketing and customer engagement strategies.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Predict customer purchase intent using behavioral and demographic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Identify the most influential factors driving serum purchases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Provide actionable insights for targeted marketing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Build a reusable, deployable prediction pipeline</w:t>
      </w:r>
    </w:p>
    <w:p>
      <w:pPr>
        <w:spacing w:after="120" w:before="1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02  Dataset Description</w:t>
      </w:r>
    </w:p>
    <w:p>
      <w:pPr>
        <w:pBdr>
          <w:bottom w:val="single" w:color="F48FB1" w:sz="8" w:space="1"/>
        </w:pBdr>
        <w:spacing w:after="80" w:before="80"/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The dataset contains 1,000 customer records collected from the GlowCare skincare platform. All records are complete with no missing values.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Age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Customer age in years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Income_Level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Low / Medium / High income bracket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Skincare_Interest_Score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Numeric (1–100)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Interest score based on in-app browsing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Daily_App_Time_Mins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Daily minutes spent on the GlowCare app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Previous_Purchases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Number of past purchases from the store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Will_Buy_Serum  🎯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Target (0 / 1)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1 = Will purchase  |  0 = Will not purchase</w:t>
            </w:r>
          </w:p>
        </w:tc>
      </w:tr>
    </w:tbl>
    <w:p>
      <w:pPr>
        <w:spacing w:after="80" w:before="80"/>
      </w:pPr>
    </w:p>
    <w:p>
      <w:pPr>
        <w:shd w:fill="FCE4EC" w:val="clear"/>
        <w:spacing w:after="60" w:before="60"/>
        <w:ind w:left="200" w:right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Dataset Balance:  </w:t>
      </w: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Perfectly balanced — 500 Will Buy  |  500 Will Not Buy  ✅</w:t>
      </w:r>
    </w:p>
    <w:p>
      <w:pPr>
        <w:spacing w:after="120" w:before="1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03  Data Preprocessing</w:t>
      </w:r>
    </w:p>
    <w:p>
      <w:pPr>
        <w:pBdr>
          <w:bottom w:val="single" w:color="F48FB1" w:sz="8" w:space="1"/>
        </w:pBdr>
        <w:spacing w:after="80" w:before="80"/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The preprocessing pipeline was kept lean because the data arrived in excellent condition.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Steps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Missing value check — none found; no imputation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Label Encoding for Income_Level:  High → 0  |  Low → 1  |  Medium →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Feature / Target separation — X: 5 features, y: Will_Buy_Serum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Train / Test Split — 80% training (800 rows) / 20% testing (200 rows)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Stratified split — ensures equal class balance in both subsets</w:t>
      </w:r>
    </w:p>
    <w:p>
      <w:pPr>
        <w:spacing w:after="120" w:before="1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04  Machine Learning Models</w:t>
      </w:r>
    </w:p>
    <w:p>
      <w:pPr>
        <w:pBdr>
          <w:bottom w:val="single" w:color="F48FB1" w:sz="8" w:space="1"/>
        </w:pBdr>
        <w:spacing w:after="80" w:before="80"/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Three classification models were trained and compared to identify the best performer: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rPr>
          <w:tblHeader/>
        </w:trPr>
        <w:tc>
          <w:tcPr>
            <w:tcW w:type="dxa" w:w="38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7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  <w:tc>
          <w:tcPr>
            <w:tcW w:type="dxa" w:w="278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F1-Score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88.0%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89.1%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Decision Tree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94.5%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2"/>
                <w:szCs w:val="22"/>
              </w:rPr>
              <w:t xml:space="preserve">94.5%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Random Forest  ⭐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94.5%</w:t>
            </w:r>
          </w:p>
        </w:tc>
        <w:tc>
          <w:tcPr>
            <w:tcW w:type="dxa" w:w="2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2"/>
                <w:szCs w:val="22"/>
              </w:rPr>
              <w:t xml:space="preserve">94.5%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Random Forest and Decision Tree tied on Accuracy, but Random Forest was selected as the final model due to its superior Recall score (95%), which minimises missed purchase opportunities.</w:t>
      </w:r>
    </w:p>
    <w:p>
      <w:pPr>
        <w:spacing w:after="120" w:before="1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05  Model Evaluation</w:t>
      </w:r>
    </w:p>
    <w:p>
      <w:pPr>
        <w:pBdr>
          <w:bottom w:val="single" w:color="F48FB1" w:sz="8" w:space="1"/>
        </w:pBdr>
        <w:spacing w:after="80" w:before="80"/>
      </w:pP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Performance Metrics — Random Forest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234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Recall</w:t>
            </w:r>
          </w:p>
        </w:tc>
        <w:tc>
          <w:tcPr>
            <w:tcW w:type="dxa" w:w="234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F1-Score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32"/>
                <w:szCs w:val="32"/>
              </w:rPr>
              <w:t xml:space="preserve">94.5%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32"/>
                <w:szCs w:val="32"/>
              </w:rPr>
              <w:t xml:space="preserve">94.1%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32"/>
                <w:szCs w:val="32"/>
              </w:rPr>
              <w:t xml:space="preserve">95.0%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32"/>
                <w:szCs w:val="32"/>
              </w:rPr>
              <w:t xml:space="preserve">94.5%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What These Numbers Mean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Accuracy 94.5% — The model correctly predicts 94-95 out of every 100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Precision 94.1% — When the model says 'Will Buy', it is right 94% of the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Recall 95.0% — The model successfully catches 95% of all actual buyers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F1-Score 94.5% — Excellent balance between Precision and Recall</w:t>
      </w:r>
    </w:p>
    <w:p>
      <w:pPr>
        <w:spacing w:after="120" w:before="1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06  Feature Importance</w:t>
      </w:r>
    </w:p>
    <w:p>
      <w:pPr>
        <w:pBdr>
          <w:bottom w:val="single" w:color="F48FB1" w:sz="8" w:space="1"/>
        </w:pBdr>
        <w:spacing w:after="80" w:before="80"/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Analysis of the Random Forest model reveals the relative contribution of each feature to the purchase prediction: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4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Skincare Interest Score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51.0%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2185B"/>
                <w:sz w:val="24"/>
                <w:szCs w:val="24"/>
              </w:rPr>
              <w:t xml:space="preserve">██████████████████████████</w:t>
            </w:r>
            <w:r>
              <w:rPr>
                <w:rFonts w:ascii="Arial" w:cs="Arial" w:eastAsia="Arial" w:hAnsi="Arial"/>
                <w:color w:val="E0E0E0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Previous Purchases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19.5%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2185B"/>
                <w:sz w:val="24"/>
                <w:szCs w:val="24"/>
              </w:rPr>
              <w:t xml:space="preserve">██████████</w:t>
            </w:r>
            <w:r>
              <w:rPr>
                <w:rFonts w:ascii="Arial" w:cs="Arial" w:eastAsia="Arial" w:hAnsi="Arial"/>
                <w:color w:val="E0E0E0"/>
                <w:sz w:val="24"/>
                <w:szCs w:val="24"/>
              </w:rPr>
              <w:t xml:space="preserve">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Daily App Time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12.0%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2185B"/>
                <w:sz w:val="24"/>
                <w:szCs w:val="24"/>
              </w:rPr>
              <w:t xml:space="preserve">██████</w:t>
            </w:r>
            <w:r>
              <w:rPr>
                <w:rFonts w:ascii="Arial" w:cs="Arial" w:eastAsia="Arial" w:hAnsi="Arial"/>
                <w:color w:val="E0E0E0"/>
                <w:sz w:val="24"/>
                <w:szCs w:val="24"/>
              </w:rPr>
              <w:t xml:space="preserve">░░░░░░░░░░░░░░░░░░░░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Income Level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11.1%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2185B"/>
                <w:sz w:val="24"/>
                <w:szCs w:val="24"/>
              </w:rPr>
              <w:t xml:space="preserve">██████</w:t>
            </w:r>
            <w:r>
              <w:rPr>
                <w:rFonts w:ascii="Arial" w:cs="Arial" w:eastAsia="Arial" w:hAnsi="Arial"/>
                <w:color w:val="E0E0E0"/>
                <w:sz w:val="24"/>
                <w:szCs w:val="24"/>
              </w:rPr>
              <w:t xml:space="preserve">░░░░░░░░░░░░░░░░░░░░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 6.4%</w:t>
            </w:r>
          </w:p>
        </w:tc>
        <w:tc>
          <w:tcPr>
            <w:tcW w:type="dxa" w:w="5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2185B"/>
                <w:sz w:val="24"/>
                <w:szCs w:val="24"/>
              </w:rPr>
              <w:t xml:space="preserve">███</w:t>
            </w:r>
            <w:r>
              <w:rPr>
                <w:rFonts w:ascii="Arial" w:cs="Arial" w:eastAsia="Arial" w:hAnsi="Arial"/>
                <w:color w:val="E0E0E0"/>
                <w:sz w:val="24"/>
                <w:szCs w:val="24"/>
              </w:rPr>
              <w:t xml:space="preserve">░░░░░░░░░░░░░░░░░░░░░░░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Skincare Interest Score is the dominant predictor — accounting for over half of the model's decision-making power. Customers with high scores are overwhelmingly likely to purchase. Previous purchase history is the second most powerful signal.</w:t>
      </w:r>
    </w:p>
    <w:p>
      <w:pPr>
        <w:spacing w:after="120" w:before="1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07  Prediction Example</w:t>
      </w:r>
    </w:p>
    <w:p>
      <w:pPr>
        <w:pBdr>
          <w:bottom w:val="single" w:color="F48FB1" w:sz="8" w:space="1"/>
        </w:pBdr>
        <w:spacing w:after="80" w:before="80"/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A sample customer profile was run through the trained model to demonstrate its real-world usage: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Income Level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Skincare Interest Score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78 / 100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Daily App Time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25 minutes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Previous Purchases</w:t>
            </w:r>
          </w:p>
        </w:tc>
        <w:tc>
          <w:tcPr>
            <w:tcW w:type="dxa" w:w="62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6 orders</w:t>
            </w:r>
          </w:p>
        </w:tc>
      </w:tr>
    </w:tbl>
    <w:p>
      <w:pPr>
        <w:spacing w:after="80" w:before="80"/>
      </w:pPr>
    </w:p>
    <w:p>
      <w:pPr>
        <w:shd w:fill="FCE4EC" w:val="clear"/>
        <w:spacing w:after="60" w:before="60"/>
        <w:ind w:left="200" w:right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Prediction Result:  </w:t>
      </w: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✅  Will Buy Serum — Probability &gt; 90%</w:t>
      </w:r>
    </w:p>
    <w:p>
      <w:pPr>
        <w:shd w:fill="FCE4EC" w:val="clear"/>
        <w:spacing w:after="60" w:before="60"/>
        <w:ind w:left="200" w:right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Recommendation:  </w:t>
      </w: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Send a personalised serum offer notification immediately</w:t>
      </w:r>
    </w:p>
    <w:p>
      <w:pPr>
        <w:spacing w:after="120" w:before="1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08  Business Impact &amp; Strategy</w:t>
      </w:r>
    </w:p>
    <w:p>
      <w:pPr>
        <w:pBdr>
          <w:bottom w:val="single" w:color="F48FB1" w:sz="8" w:space="1"/>
        </w:pBdr>
        <w:spacing w:after="80" w:before="80"/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This predictive model enables GlowCare to move from broad-reach marketing to precision targeting. Suggested action tiers: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 Probability</w:t>
            </w:r>
          </w:p>
        </w:tc>
        <w:tc>
          <w:tcPr>
            <w:tcW w:type="dxa" w:w="3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&gt; 80%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High-intent buyers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Send direct push notification with serum offer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50–80%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Warm prospects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Add to retargeting campaign with discount code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&lt; 50%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Low-intent visitors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20"/>
                <w:szCs w:val="20"/>
              </w:rPr>
              <w:t xml:space="preserve">Serve educational skincare content to build interest</w:t>
            </w:r>
          </w:p>
        </w:tc>
      </w:tr>
    </w:tbl>
    <w:p>
      <w:pPr>
        <w:spacing w:after="120" w:before="1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09  Future Improvements</w:t>
      </w:r>
    </w:p>
    <w:p>
      <w:pPr>
        <w:pBdr>
          <w:bottom w:val="single" w:color="F48FB1" w:sz="8" w:space="1"/>
        </w:pBdr>
        <w:spacing w:after="80" w:before="8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Hyperparameter tuning (GridSearchCV) for further accuracy gains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Cross-validation (k-fold) for more robust performance estimation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Enriching features with session data, wishlist activity, and review sentiment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Deploy model as a REST API using FastAPI or Flask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Build a real-time Streamlit dashboard for the marketing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Integrate directly into the GlowCare mobile app for live recommendations</w:t>
      </w:r>
    </w:p>
    <w:p>
      <w:pPr>
        <w:spacing w:after="120" w:before="1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  Conclusion</w:t>
      </w:r>
    </w:p>
    <w:p>
      <w:pPr>
        <w:pBdr>
          <w:bottom w:val="single" w:color="F48FB1" w:sz="8" w:space="1"/>
        </w:pBdr>
        <w:spacing w:after="80" w:before="80"/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The GlowCare Customer Purchase Prediction model was successfully built and validated. The Random Forest Classifier achieved an accuracy of 94.5% and a recall of 95% — making it a reliable foundation for intelligent customer targeting.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The model demonstrates that Skincare Interest Score is the single most powerful predictor of purchase intent, followed by a customer's purchase history and daily app engagement. These insights enable GlowCare to prioritise marketing spend on the highest-value prospects.</w:t>
      </w:r>
    </w:p>
    <w:p>
      <w:pPr>
        <w:spacing w:after="80" w:before="80"/>
      </w:pPr>
    </w:p>
    <w:p>
      <w:pPr>
        <w:shd w:fill="FCE4EC" w:val="clear"/>
        <w:spacing w:after="60" w:before="60"/>
        <w:ind w:left="200" w:right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Final Model:  </w:t>
      </w: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Random Forest Classifier</w:t>
      </w:r>
    </w:p>
    <w:p>
      <w:pPr>
        <w:shd w:fill="FCE4EC" w:val="clear"/>
        <w:spacing w:after="60" w:before="60"/>
        <w:ind w:left="200" w:right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Final Accuracy:  </w:t>
      </w: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94.5%  |  F1-Score: 94.5%  |  Recall: 95.0%</w:t>
      </w:r>
    </w:p>
    <w:p>
      <w:pPr>
        <w:shd w:fill="FCE4EC" w:val="clear"/>
        <w:spacing w:after="60" w:before="60"/>
        <w:ind w:left="200" w:right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Saved Model File:  </w:t>
      </w: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GlowCare_RF_Model.pkl  —  ready for deployment</w:t>
      </w:r>
    </w:p>
    <w:p>
      <w:pPr>
        <w:spacing w:after="120" w:before="120"/>
      </w:pP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8FB1" w:sz="4" w:space="2"/>
      </w:pBdr>
      <w:spacing w:before="80"/>
      <w:jc w:val="center"/>
    </w:pPr>
    <w:r>
      <w:rPr>
        <w:rFonts w:ascii="Arial" w:cs="Arial" w:eastAsia="Arial" w:hAnsi="Arial"/>
        <w:color w:val="546E7A"/>
        <w:sz w:val="18"/>
        <w:szCs w:val="18"/>
      </w:rPr>
      <w:t xml:space="preserve">GlowCare AI  |  Confidential  |  Page </w:t>
    </w:r>
    <w:r>
      <w:rPr>
        <w:rFonts w:ascii="Arial" w:cs="Arial" w:eastAsia="Arial" w:hAnsi="Arial"/>
        <w:color w:val="C2185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8"/>
        <w:szCs w:val="18"/>
      </w:rPr>
      <w:t xml:space="preserve"> of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8FB1" w:sz="6" w:space="2"/>
      </w:pBdr>
      <w:spacing w:after="80"/>
    </w:pPr>
    <w:r>
      <w:rPr>
        <w:rFonts w:ascii="Arial" w:cs="Arial" w:eastAsia="Arial" w:hAnsi="Arial"/>
        <w:b/>
        <w:bCs/>
        <w:color w:val="C2185B"/>
        <w:sz w:val="22"/>
        <w:szCs w:val="22"/>
      </w:rPr>
      <w:t xml:space="preserve">GlowCare  </w:t>
    </w:r>
    <w:r>
      <w:rPr>
        <w:rFonts w:ascii="Arial" w:cs="Arial" w:eastAsia="Arial" w:hAnsi="Arial"/>
        <w:i/>
        <w:iCs/>
        <w:color w:val="546E7A"/>
        <w:sz w:val="20"/>
        <w:szCs w:val="20"/>
      </w:rPr>
      <w:t xml:space="preserve">Customer Purchase Prediction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46E7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C2185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2026-05-14T01:42:17.363Z</dcterms:created>
  <dcterms:modified xsi:type="dcterms:W3CDTF">2026-05-14T01:42:17.363Z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