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Analysis Report</w:t>
      </w:r>
    </w:p>
    <w:p>
      <w:r>
        <w:rPr>
          <w:i/>
        </w:rPr>
        <w:t>Generated 2026-09-17 09:32:30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'annual_income' has 76.25% missing values, which may bias any analysis using it.</w:t>
      </w:r>
    </w:p>
    <w:p>
      <w:pPr>
        <w:pStyle w:val="ListBullet"/>
      </w:pPr>
      <w:r>
        <w:t>annual_income is increasing overall (26.13% total change).</w:t>
      </w:r>
    </w:p>
    <w:p>
      <w:pPr>
        <w:pStyle w:val="ListBullet"/>
      </w:pPr>
      <w:r>
        <w:t>The sharpest drop in annual_income was -100.0% in 2023-02-28.</w:t>
      </w:r>
    </w:p>
    <w:p>
      <w:pPr>
        <w:pStyle w:val="ListBullet"/>
      </w:pPr>
      <w:r>
        <w:t>annual_income moved from 3274000.0 in 2023-03 to 1868000.0 in 2023-07 (-42.94%).</w:t>
      </w:r>
    </w:p>
    <w:p>
      <w:pPr>
        <w:pStyle w:val="ListBullet"/>
      </w:pPr>
      <w:r>
        <w:t>'Germany' had the steepest decline (-96.1%) between the two periods.</w:t>
      </w:r>
    </w:p>
    <w:p>
      <w:pPr>
        <w:pStyle w:val="ListBullet"/>
      </w:pPr>
      <w:r>
        <w:t>By annual_income, 'USA' leads (3398000.0) and 'France' trails (1015000.0) among country.</w:t>
      </w:r>
    </w:p>
    <w:p>
      <w:pPr>
        <w:pStyle w:val="ListBullet"/>
      </w:pPr>
      <w:r>
        <w:t>A baseline model predicts 'country' with 0.225 accuracy; the top driver is 'numerical__internal_record_number'.</w:t>
      </w:r>
    </w:p>
    <w:p>
      <w:pPr>
        <w:pStyle w:val="Heading2"/>
      </w:pPr>
      <w:r>
        <w:t>Key Metrics</w:t>
      </w:r>
    </w:p>
    <w:p>
      <w:pPr>
        <w:pStyle w:val="ListBullet"/>
      </w:pPr>
      <w:r>
        <w:t>Rows: 400</w:t>
      </w:r>
    </w:p>
    <w:p>
      <w:pPr>
        <w:pStyle w:val="ListBullet"/>
      </w:pPr>
      <w:r>
        <w:t>Columns: 11</w:t>
      </w:r>
    </w:p>
    <w:p>
      <w:pPr>
        <w:pStyle w:val="ListBullet"/>
      </w:pPr>
      <w:r>
        <w:t>Duplicate rows: 0</w:t>
      </w:r>
    </w:p>
    <w:p>
      <w:pPr>
        <w:pStyle w:val="ListBullet"/>
      </w:pPr>
      <w:r>
        <w:t>Metric analyzed: annual_income</w:t>
      </w:r>
    </w:p>
    <w:p>
      <w:pPr>
        <w:pStyle w:val="ListBullet"/>
      </w:pPr>
      <w:r>
        <w:t>Date column used: signup_date</w:t>
      </w:r>
    </w:p>
    <w:p>
      <w:pPr>
        <w:pStyle w:val="ListBullet"/>
      </w:pPr>
      <w:r>
        <w:t>Grouping dimension: country</w:t>
      </w:r>
    </w:p>
    <w:p>
      <w:pPr>
        <w:pStyle w:val="Heading2"/>
      </w:pPr>
      <w:r>
        <w:t>Visual Overview</w:t>
      </w:r>
    </w:p>
    <w:p>
      <w:r>
        <w:drawing>
          <wp:inline xmlns:a="http://schemas.openxmlformats.org/drawingml/2006/main" xmlns:pic="http://schemas.openxmlformats.org/drawingml/2006/picture">
            <wp:extent cx="5486400" cy="3888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_annual_in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610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Trends</w:t>
      </w:r>
    </w:p>
    <w:p>
      <w:pPr>
        <w:pStyle w:val="ListBullet"/>
      </w:pPr>
      <w:r>
        <w:t>Overall direction for **annual_income**: increasing</w:t>
      </w:r>
    </w:p>
    <w:p>
      <w:pPr>
        <w:pStyle w:val="ListBullet"/>
      </w:pPr>
      <w:r>
        <w:t>Total change over the period: 26.13%</w:t>
      </w:r>
    </w:p>
    <w:p>
      <w:pPr>
        <w:pStyle w:val="ListBullet"/>
      </w:pPr>
      <w:r>
        <w:t>Largest single-period drop: -100.0% in 2023-02-28</w:t>
      </w:r>
    </w:p>
    <w:p>
      <w:pPr>
        <w:pStyle w:val="ListBullet"/>
      </w:pPr>
      <w:r>
        <w:t>Largest single-period rise: inf% in 2023-03-31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ren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Period Comparison</w:t>
      </w:r>
    </w:p>
    <w:p>
      <w:pPr>
        <w:pStyle w:val="ListBullet"/>
      </w:pPr>
      <w:r>
        <w:t>2023-03: 3274000.0</w:t>
      </w:r>
    </w:p>
    <w:p>
      <w:pPr>
        <w:pStyle w:val="ListBullet"/>
      </w:pPr>
      <w:r>
        <w:t>2023-07: 1868000.0</w:t>
      </w:r>
    </w:p>
    <w:p>
      <w:pPr>
        <w:pStyle w:val="ListBullet"/>
      </w:pPr>
      <w:r>
        <w:t>Change: -1406000.0 (-42.94%, decrease)</w:t>
      </w:r>
    </w:p>
    <w:p>
      <w:r>
        <w:t>Fastest-growing country:</w:t>
      </w:r>
    </w:p>
    <w:p>
      <w:pPr>
        <w:pStyle w:val="ListBullet"/>
      </w:pPr>
      <w:r>
        <w:t>France: 196.1%</w:t>
      </w:r>
    </w:p>
    <w:p>
      <w:pPr>
        <w:pStyle w:val="ListBullet"/>
      </w:pPr>
      <w:r>
        <w:t>UK: 9.82%</w:t>
      </w:r>
    </w:p>
    <w:p>
      <w:r>
        <w:t>Fastest-declining country:</w:t>
      </w:r>
    </w:p>
    <w:p>
      <w:pPr>
        <w:pStyle w:val="ListBullet"/>
      </w:pPr>
      <w:r>
        <w:t>Germany: -96.1%</w:t>
      </w:r>
    </w:p>
    <w:p>
      <w:pPr>
        <w:pStyle w:val="ListBullet"/>
      </w:pPr>
      <w:r>
        <w:t>USA: -41.03%</w:t>
      </w:r>
    </w:p>
    <w:p>
      <w:pPr>
        <w:pStyle w:val="Heading2"/>
      </w:pPr>
      <w:r>
        <w:t>Anomalies</w:t>
      </w:r>
    </w:p>
    <w:p>
      <w:pPr>
        <w:pStyle w:val="ListBullet"/>
      </w:pPr>
      <w:r>
        <w:t>No significant anomalies detected.</w:t>
      </w:r>
    </w:p>
    <w:p>
      <w:pPr>
        <w:pStyle w:val="Heading2"/>
      </w:pPr>
      <w:r>
        <w:t>Top / Bottom Performers</w:t>
      </w:r>
    </w:p>
    <w:p>
      <w:r>
        <w:t>Top country by annual_income (sum):</w:t>
      </w:r>
    </w:p>
    <w:p>
      <w:pPr>
        <w:pStyle w:val="ListBullet"/>
      </w:pPr>
      <w:r>
        <w:t>USA: 3398000.0</w:t>
      </w:r>
    </w:p>
    <w:p>
      <w:pPr>
        <w:pStyle w:val="ListBullet"/>
      </w:pPr>
      <w:r>
        <w:t>Germany: 2327000.0</w:t>
      </w:r>
    </w:p>
    <w:p>
      <w:pPr>
        <w:pStyle w:val="ListBullet"/>
      </w:pPr>
      <w:r>
        <w:t>UK: 1280000.0</w:t>
      </w:r>
    </w:p>
    <w:p>
      <w:pPr>
        <w:pStyle w:val="ListBullet"/>
      </w:pPr>
      <w:r>
        <w:t>France: 1015000.0</w:t>
      </w:r>
    </w:p>
    <w:p>
      <w:r>
        <w:t>Bottom country by annual_income:</w:t>
      </w:r>
    </w:p>
    <w:p>
      <w:pPr>
        <w:pStyle w:val="ListBullet"/>
      </w:pPr>
      <w:r>
        <w:t>France: 1015000.0</w:t>
      </w:r>
    </w:p>
    <w:p>
      <w:pPr>
        <w:pStyle w:val="ListBullet"/>
      </w:pPr>
      <w:r>
        <w:t>UK: 1280000.0</w:t>
      </w:r>
    </w:p>
    <w:p>
      <w:pPr>
        <w:pStyle w:val="ListBullet"/>
      </w:pPr>
      <w:r>
        <w:t>Germany: 2327000.0</w:t>
      </w:r>
    </w:p>
    <w:p>
      <w:pPr>
        <w:pStyle w:val="ListBullet"/>
      </w:pPr>
      <w:r>
        <w:t>USA: 3398000.0</w:t>
      </w:r>
    </w:p>
    <w:p>
      <w:r>
        <w:drawing>
          <wp:inline xmlns:a="http://schemas.openxmlformats.org/drawingml/2006/main" xmlns:pic="http://schemas.openxmlformats.org/drawingml/2006/picture">
            <wp:extent cx="548640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op_bottom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Predictive Signal</w:t>
      </w:r>
    </w:p>
    <w:p>
      <w:pPr>
        <w:pStyle w:val="ListBullet"/>
      </w:pPr>
      <w:r>
        <w:t>Target column: country</w:t>
      </w:r>
    </w:p>
    <w:p>
      <w:pPr>
        <w:pStyle w:val="ListBullet"/>
      </w:pPr>
      <w:r>
        <w:t>Task type: classification</w:t>
      </w:r>
    </w:p>
    <w:p>
      <w:pPr>
        <w:pStyle w:val="ListBullet"/>
      </w:pPr>
      <w:r>
        <w:t>accuracy: 0.225</w:t>
      </w:r>
    </w:p>
    <w:p>
      <w:pPr>
        <w:pStyle w:val="ListBullet"/>
      </w:pPr>
      <w:r>
        <w:t>precision: 0.2388</w:t>
      </w:r>
    </w:p>
    <w:p>
      <w:pPr>
        <w:pStyle w:val="ListBullet"/>
      </w:pPr>
      <w:r>
        <w:t>recall: 0.225</w:t>
      </w:r>
    </w:p>
    <w:p>
      <w:pPr>
        <w:pStyle w:val="ListBullet"/>
      </w:pPr>
      <w:r>
        <w:t>f1_score: 0.2229</w:t>
      </w:r>
    </w:p>
    <w:p>
      <w:r>
        <w:t>Top features:</w:t>
      </w:r>
    </w:p>
    <w:p>
      <w:pPr>
        <w:pStyle w:val="ListBullet"/>
      </w:pPr>
      <w:r>
        <w:t>numerical__internal_record_number: 0.4756</w:t>
      </w:r>
    </w:p>
    <w:p>
      <w:pPr>
        <w:pStyle w:val="ListBullet"/>
      </w:pPr>
      <w:r>
        <w:t>numerical__age: 0.1373</w:t>
      </w:r>
    </w:p>
    <w:p>
      <w:pPr>
        <w:pStyle w:val="ListBullet"/>
      </w:pPr>
      <w:r>
        <w:t>numerical__annual_income: 0.131</w:t>
      </w:r>
    </w:p>
    <w:p>
      <w:pPr>
        <w:pStyle w:val="ListBullet"/>
      </w:pPr>
      <w:r>
        <w:t>categorical__signup_date_2023-07-22: 0.0275</w:t>
      </w:r>
    </w:p>
    <w:p>
      <w:pPr>
        <w:pStyle w:val="ListBullet"/>
      </w:pPr>
      <w:r>
        <w:t>categorical__notes_vip: 0.0274</w:t>
      </w:r>
    </w:p>
    <w:p>
      <w:pPr>
        <w:pStyle w:val="Heading2"/>
      </w:pPr>
      <w:r>
        <w:t>Insights</w:t>
      </w:r>
    </w:p>
    <w:p>
      <w:pPr>
        <w:pStyle w:val="ListBullet"/>
      </w:pPr>
      <w:r>
        <w:t>'annual_income' has 76.25% missing values, which may bias any analysis using it.</w:t>
      </w:r>
    </w:p>
    <w:p>
      <w:pPr>
        <w:pStyle w:val="ListBullet"/>
      </w:pPr>
      <w:r>
        <w:t>annual_income is increasing overall (26.13% total change).</w:t>
      </w:r>
    </w:p>
    <w:p>
      <w:pPr>
        <w:pStyle w:val="ListBullet"/>
      </w:pPr>
      <w:r>
        <w:t>The sharpest drop in annual_income was -100.0% in 2023-02-28.</w:t>
      </w:r>
    </w:p>
    <w:p>
      <w:pPr>
        <w:pStyle w:val="ListBullet"/>
      </w:pPr>
      <w:r>
        <w:t>annual_income moved from 3274000.0 in 2023-03 to 1868000.0 in 2023-07 (-42.94%).</w:t>
      </w:r>
    </w:p>
    <w:p>
      <w:pPr>
        <w:pStyle w:val="ListBullet"/>
      </w:pPr>
      <w:r>
        <w:t>'Germany' had the steepest decline (-96.1%) between the two periods.</w:t>
      </w:r>
    </w:p>
    <w:p>
      <w:pPr>
        <w:pStyle w:val="ListBullet"/>
      </w:pPr>
      <w:r>
        <w:t>By annual_income, 'USA' leads (3398000.0) and 'France' trails (1015000.0) among country.</w:t>
      </w:r>
    </w:p>
    <w:p>
      <w:pPr>
        <w:pStyle w:val="ListBullet"/>
      </w:pPr>
      <w:r>
        <w:t>A baseline model predicts 'country' with 0.225 accuracy; the top driver is 'numerical__internal_record_number'.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Investigate why 'annual_income' has a high missing rate before using it in reporting or modeling.</w:t>
      </w:r>
    </w:p>
    <w:p>
      <w:pPr>
        <w:pStyle w:val="ListBullet"/>
      </w:pPr>
      <w:r>
        <w:t>Review what happened around 2023-02-28 - it had the largest period-over-period drop in annual_income.</w:t>
      </w:r>
    </w:p>
    <w:p>
      <w:pPr>
        <w:pStyle w:val="ListBullet"/>
      </w:pPr>
      <w:r>
        <w:t>Prioritize investigating 'Germany' - it declined -96.1% between the two most recent periods.</w:t>
      </w:r>
    </w:p>
    <w:p>
      <w:pPr>
        <w:pStyle w:val="ListBullet"/>
      </w:pPr>
      <w:r>
        <w:t>Examine why 'France' underperforms other country on annual_income, and whether 'USA' has practices worth replicating.</w:t>
      </w:r>
    </w:p>
    <w:p>
      <w:pPr>
        <w:pStyle w:val="Heading2"/>
      </w:pPr>
      <w:r>
        <w:t>Limitations</w:t>
      </w:r>
    </w:p>
    <w:p>
      <w:pPr>
        <w:pStyle w:val="ListBullet"/>
      </w:pPr>
      <w:r>
        <w:t>Generated automatically from the uploaded CSV only; it does not incorporate context outside the data.</w:t>
      </w:r>
    </w:p>
    <w:p>
      <w:pPr>
        <w:pStyle w:val="ListBullet"/>
      </w:pPr>
      <w:r>
        <w:t>Date, metric, and grouping columns were auto-detected when not specified and may not match true business intent.</w:t>
      </w:r>
    </w:p>
    <w:p>
      <w:pPr>
        <w:pStyle w:val="ListBullet"/>
      </w:pPr>
      <w:r>
        <w:t>Correlations, trends, and feature importance reflect association within this dataset, not proven causation.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