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32"/>
              </w:rPr>
              <w:t>RENCANA KERJA DAN SYARAT-SYARAT</w:t>
              <w:br/>
              <w:t>(RKS)</w:t>
            </w:r>
          </w:p>
        </w:tc>
      </w:tr>
    </w:tbl>
    <w:p/>
    <w:tbl>
      <w:tblPr>
        <w:tblW w:type="auto" w:w="0"/>
        <w:jc w:val="center"/>
        <w:tblLook w:firstColumn="1" w:firstRow="1" w:lastColumn="0" w:lastRow="0" w:noHBand="0" w:noVBand="1" w:val="04A0"/>
      </w:tblPr>
      <w:tblGrid>
        <w:gridCol w:w="9122"/>
      </w:tblGrid>
      <w:tr>
        <w:tc>
          <w:tcPr>
            <w:tcW w:type="dxa" w:w="9122"/>
            <w:tcBorders>
              <w:top w:val="single" w:sz="8" w:space="0" w:color="000000"/>
              <w:bottom w:val="single" w:sz="8" w:space="0" w:color="000000"/>
              <w:left w:val="single" w:sz="8" w:space="0" w:color="000000"/>
              <w:right w:val="single" w:sz="8" w:space="0" w:color="000000"/>
            </w:tcBorders>
          </w:tcPr>
          <w:p>
            <w:pPr>
              <w:jc w:val="center"/>
            </w:pPr>
            <w:r>
              <w:rPr>
                <w:rFonts w:ascii="Arial" w:hAnsi="Arial"/>
                <w:b/>
                <w:sz w:val="24"/>
              </w:rPr>
              <w:t>Pembangunan Tangki Air Kapasitas 1000 KL</w:t>
            </w:r>
          </w:p>
        </w:tc>
      </w:tr>
    </w:tbl>
    <w:p/>
    <w:p>
      <w:pPr>
        <w:spacing w:before="240" w:after="240"/>
        <w:jc w:val="center"/>
      </w:pPr>
      <w:r>
        <w:rPr>
          <w:rFonts w:ascii="Arial" w:hAnsi="Arial"/>
          <w:b/>
          <w:sz w:val="24"/>
        </w:rPr>
        <w:t>Bidder List No: ______________________________</w:t>
      </w:r>
    </w:p>
    <w:p>
      <w:pPr>
        <w:spacing w:before="240" w:after="120"/>
        <w:jc w:val="center"/>
      </w:pPr>
      <w:r>
        <w:rPr>
          <w:rFonts w:ascii="Arial" w:hAnsi="Arial"/>
          <w:b/>
          <w:sz w:val="24"/>
        </w:rPr>
        <w:t>RESIKO PEKERJAAN (ASPEK CSMS):</w:t>
      </w:r>
    </w:p>
    <w:p>
      <w:pPr>
        <w:spacing w:before="0" w:after="360"/>
        <w:jc w:val="center"/>
      </w:pPr>
      <w:r>
        <w:rPr>
          <w:rFonts w:ascii="Arial" w:hAnsi="Arial"/>
          <w:b/>
          <w:sz w:val="24"/>
        </w:rPr>
        <w:t>☑ HIGH     ☐ MIDDLE     ☐ LOW</w:t>
      </w:r>
    </w:p>
    <w:p>
      <w:pPr>
        <w:jc w:val="center"/>
      </w:pPr>
      <w:r>
        <w:drawing>
          <wp:inline xmlns:a="http://schemas.openxmlformats.org/drawingml/2006/main" xmlns:pic="http://schemas.openxmlformats.org/drawingml/2006/picture">
            <wp:extent cx="1800000" cy="420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9"/>
                    <a:stretch>
                      <a:fillRect/>
                    </a:stretch>
                  </pic:blipFill>
                  <pic:spPr>
                    <a:xfrm>
                      <a:off x="0" y="0"/>
                      <a:ext cx="1800000" cy="420000"/>
                    </a:xfrm>
                    <a:prstGeom prst="rect"/>
                  </pic:spPr>
                </pic:pic>
              </a:graphicData>
            </a:graphic>
          </wp:inline>
        </w:drawing>
      </w:r>
    </w:p>
    <w:p>
      <w:pPr>
        <w:spacing w:before="240" w:after="240"/>
      </w:pPr>
    </w:p>
    <w:p>
      <w:pPr>
        <w:spacing w:before="240" w:after="240"/>
      </w:pPr>
    </w:p>
    <w:p>
      <w:pPr>
        <w:spacing w:before="240" w:after="240"/>
      </w:pPr>
    </w:p>
    <w:p>
      <w:pPr>
        <w:spacing w:before="240" w:after="240"/>
      </w:pPr>
    </w:p>
    <w:p>
      <w:pPr>
        <w:spacing w:before="0" w:after="0"/>
        <w:jc w:val="center"/>
      </w:pPr>
      <w:r>
        <w:rPr>
          <w:rFonts w:ascii="Arial" w:hAnsi="Arial"/>
          <w:b/>
          <w:sz w:val="24"/>
        </w:rPr>
        <w:t>PT PERTAMINA (PERSERO)</w:t>
      </w:r>
    </w:p>
    <w:p>
      <w:pPr>
        <w:sectPr>
          <w:pgSz w:w="12240" w:h="15840"/>
          <w:pgMar w:top="1701" w:right="1417" w:bottom="1417" w:left="1701"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pPr>
    </w:p>
    <w:p>
      <w:pPr>
        <w:spacing w:before="480" w:after="480"/>
        <w:jc w:val="center"/>
      </w:pPr>
      <w:r>
        <w:rPr>
          <w:rFonts w:ascii="Arial" w:hAnsi="Arial"/>
          <w:b/>
          <w:sz w:val="28"/>
        </w:rPr>
        <w:t>LEMBAR PENGESAHAN</w:t>
      </w:r>
    </w:p>
    <w:tbl>
      <w:tblPr>
        <w:tblW w:type="auto" w:w="0"/>
        <w:jc w:val="center"/>
        <w:tblLook w:firstColumn="1" w:firstRow="1" w:lastColumn="0" w:lastRow="0" w:noHBand="0" w:noVBand="1" w:val="04A0"/>
      </w:tblPr>
      <w:tblGrid>
        <w:gridCol w:w="3041"/>
        <w:gridCol w:w="3041"/>
        <w:gridCol w:w="3041"/>
      </w:tblGrid>
      <w:tr>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Nama / Jabatan</w:t>
            </w:r>
          </w:p>
        </w:tc>
        <w:tc>
          <w:tcPr>
            <w:tcW w:type="dxa" w:w="3041"/>
            <w:shd w:fill="D9E2F3" w:val="clear"/>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Tanda Tangan</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Disusun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Kepala Bidang Teknik &amp; Operasi</w:t>
              <w:br/>
              <w:t>Penyusun Dokumen</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Diperiksa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Manajer Proyek Konstruksi</w:t>
              <w:br/>
              <w:t>Pemeriksa Dokumen</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r>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b/>
                <w:sz w:val="22"/>
              </w:rPr>
              <w:t>Disetujui oleh</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Direktur Utama / Head of Terminal</w:t>
              <w:br/>
              <w:t>Pengguna/Penyetuju Dokumen</w:t>
            </w:r>
          </w:p>
        </w:tc>
        <w:tc>
          <w:tcPr>
            <w:tcW w:type="dxa" w:w="3041"/>
            <w:tcBorders>
              <w:top w:val="single" w:sz="4" w:space="0" w:color="000000"/>
              <w:bottom w:val="single" w:sz="4" w:space="0" w:color="000000"/>
              <w:left w:val="single" w:sz="4" w:space="0" w:color="000000"/>
              <w:right w:val="single" w:sz="4" w:space="0" w:color="000000"/>
            </w:tcBorders>
          </w:tcPr>
          <w:p>
            <w:pPr>
              <w:jc w:val="center"/>
            </w:pPr>
            <w:r>
              <w:rPr>
                <w:rFonts w:ascii="Arial" w:hAnsi="Arial"/>
                <w:sz w:val="20"/>
              </w:rPr>
              <w:br/>
              <w:br/>
              <w:br/>
              <w:t>____________________</w:t>
              <w:br/>
              <w:t>Tanggal: ___/___/______</w:t>
            </w:r>
          </w:p>
        </w:tc>
      </w:tr>
    </w:tbl>
    <w:p>
      <w:r>
        <w:br w:type="page"/>
      </w:r>
    </w:p>
    <w:p>
      <w:pPr>
        <w:spacing w:before="480" w:after="360"/>
        <w:jc w:val="center"/>
      </w:pPr>
      <w:r>
        <w:rPr>
          <w:rFonts w:ascii="Arial" w:hAnsi="Arial"/>
          <w:b/>
          <w:sz w:val="28"/>
        </w:rPr>
        <w:t>DAFTAR ISI</w:t>
      </w:r>
    </w:p>
    <w:p>
      <w:r>
        <w:fldChar w:fldCharType="begin"/>
      </w:r>
      <w:r>
        <w:instrText xml:space="preserve"> TOC \o "1-3" \h \z \u </w:instrText>
      </w:r>
      <w:r>
        <w:fldChar w:fldCharType="separate"/>
      </w:r>
      <w:r>
        <w:rPr>
          <w:rFonts w:ascii="Arial" w:hAnsi="Arial"/>
          <w:color w:val="808080"/>
          <w:sz w:val="22"/>
        </w:rPr>
        <w:t>(Tekan F9 di Microsoft Word untuk update Daftar Isi)</w:t>
      </w:r>
      <w:r>
        <w:fldChar w:fldCharType="end"/>
      </w:r>
    </w:p>
    <w:p>
      <w:r>
        <w:br w:type="page"/>
      </w:r>
    </w:p>
    <w:p>
      <w:pPr>
        <w:sectPr>
          <w:pgSz w:w="12240" w:h="15840"/>
          <w:pgMar w:top="1701" w:right="1417" w:bottom="1417" w:left="1701" w:header="720" w:footer="720" w:gutter="0"/>
          <w:cols w:space="720"/>
          <w:docGrid w:linePitch="360"/>
        </w:sectPr>
      </w:pPr>
    </w:p>
    <w:p>
      <w:pPr>
        <w:pStyle w:val="Heading1"/>
      </w:pPr>
      <w:r>
        <w:rPr>
          <w:rFonts w:ascii="Arial" w:hAnsi="Arial"/>
          <w:color w:val="000000"/>
          <w:sz w:val="28"/>
        </w:rPr>
        <w:t>BAB I - PENDAHULUAN</w:t>
      </w:r>
    </w:p>
    <w:p>
      <w:pPr>
        <w:pStyle w:val="Heading2"/>
      </w:pPr>
      <w:r>
        <w:rPr>
          <w:rFonts w:ascii="Arial" w:hAnsi="Arial"/>
          <w:color w:val="000000"/>
          <w:sz w:val="24"/>
        </w:rPr>
        <w:t>1.1 Latar Belakang dan Tujuan</w:t>
      </w:r>
    </w:p>
    <w:p>
      <w:pPr>
        <w:spacing w:line="360" w:lineRule="auto" w:after="120"/>
      </w:pPr>
      <w:r>
        <w:rPr>
          <w:rFonts w:ascii="Arial" w:hAnsi="Arial"/>
          <w:sz w:val="24"/>
        </w:rPr>
        <w:t>Dokumen ini merupakan Rencana Kerja dan Syarat-Syarat (RKS) untuk pekerjaan Pembangunan Tangki Air Kapasitas 1.000 KL di Fuel Terminal Samarinda. Tujuan penyusunan dokumen ini adalah menjadi acuan teknis, administratif, dan kontrakual bagi kontraktor dalam melaksanakan pekerjaan secara aman, tepat waktu, dan sesuai dengan standar mutu serta regulasi internal PT Pertamina (Persero).</w:t>
      </w:r>
    </w:p>
    <w:p>
      <w:pPr>
        <w:pStyle w:val="Heading2"/>
      </w:pPr>
      <w:r>
        <w:rPr>
          <w:rFonts w:ascii="Arial" w:hAnsi="Arial"/>
          <w:color w:val="000000"/>
          <w:sz w:val="24"/>
        </w:rPr>
        <w:t>1.2 Ruang Lingkup Pekerjaan</w:t>
      </w:r>
    </w:p>
    <w:p>
      <w:pPr>
        <w:pStyle w:val="ListBullet"/>
      </w:pPr>
      <w:r>
        <w:rPr>
          <w:rFonts w:ascii="Arial" w:hAnsi="Arial"/>
          <w:sz w:val="24"/>
        </w:rPr>
        <w:t>Pekerjaan persiapan, survei engineering, shop drawing, penyediaan direksi kit kontainer, dan fasilitas HSSE.</w:t>
      </w:r>
    </w:p>
    <w:p>
      <w:pPr>
        <w:pStyle w:val="ListBullet"/>
      </w:pPr>
      <w:r>
        <w:rPr>
          <w:rFonts w:ascii="Arial" w:hAnsi="Arial"/>
          <w:sz w:val="24"/>
        </w:rPr>
        <w:t>Pekerjaan pondasi meliputi pemancangan spun pile, galian tanah, urugan pasir pilihan, pembuatan lantai kerja beton, poer, slab beton bertulang, dan finishing paving aspal ACWC.</w:t>
      </w:r>
    </w:p>
    <w:p>
      <w:pPr>
        <w:pStyle w:val="ListBullet"/>
      </w:pPr>
      <w:r>
        <w:rPr>
          <w:rFonts w:ascii="Arial" w:hAnsi="Arial"/>
          <w:sz w:val="24"/>
        </w:rPr>
        <w:t>Fabrikasi dan erection tangki timbun (shell, bottom, roof) beserta rangka atap, tangga darurat, platform inlet/outlet, handrail, dan splash plate.</w:t>
      </w:r>
    </w:p>
    <w:p>
      <w:pPr>
        <w:pStyle w:val="ListBullet"/>
      </w:pPr>
      <w:r>
        <w:rPr>
          <w:rFonts w:ascii="Arial" w:hAnsi="Arial"/>
          <w:sz w:val="24"/>
        </w:rPr>
        <w:t>Aplikasi sistem pelapisan (coating) anti-korosi multi-layer pada area internal, eksternal, dan underside tangki.</w:t>
      </w:r>
    </w:p>
    <w:p>
      <w:pPr>
        <w:pStyle w:val="ListBullet"/>
      </w:pPr>
      <w:r>
        <w:rPr>
          <w:rFonts w:ascii="Arial" w:hAnsi="Arial"/>
          <w:sz w:val="24"/>
        </w:rPr>
        <w:t>Instalasi kelengkapan operasional: manhole, breather valve, emergency vent, product drain, jaringan piping pendek, katup kontrol, serta sistem earthing/grounding.</w:t>
      </w:r>
    </w:p>
    <w:p>
      <w:pPr>
        <w:pStyle w:val="Heading2"/>
      </w:pPr>
      <w:r>
        <w:rPr>
          <w:rFonts w:ascii="Arial" w:hAnsi="Arial"/>
          <w:color w:val="000000"/>
          <w:sz w:val="24"/>
        </w:rPr>
        <w:t>1.3 Lokasi dan Kondisi Site</w:t>
      </w:r>
    </w:p>
    <w:p>
      <w:pPr>
        <w:spacing w:line="360" w:lineRule="auto" w:after="120"/>
      </w:pPr>
      <w:r>
        <w:rPr>
          <w:rFonts w:ascii="Arial" w:hAnsi="Arial"/>
          <w:sz w:val="24"/>
        </w:rPr>
        <w:t>Proyek dilaksanakan di Fuel Terminal Samarinda. Area site telah diklarifikasi kesiapannya untuk pelaksanaan konstruksi dengan akses logistik yang memadai, dukungan utilitas terminal yang beroperasi, dan zona keamanan yang terintegrasi dengan sistem manajemen keselamatan perusahaan.</w:t>
      </w:r>
    </w:p>
    <w:p>
      <w:pPr>
        <w:pStyle w:val="Heading1"/>
      </w:pPr>
      <w:r>
        <w:rPr>
          <w:rFonts w:ascii="Arial" w:hAnsi="Arial"/>
          <w:color w:val="000000"/>
          <w:sz w:val="28"/>
        </w:rPr>
        <w:t>BAB II - SPESIFIKASI TEKNIS DAN MATERIAL</w:t>
      </w:r>
    </w:p>
    <w:p>
      <w:pPr>
        <w:pStyle w:val="Heading2"/>
      </w:pPr>
      <w:r>
        <w:rPr>
          <w:rFonts w:ascii="Arial" w:hAnsi="Arial"/>
          <w:color w:val="000000"/>
          <w:sz w:val="24"/>
        </w:rPr>
        <w:t>2.1 Spesifikasi Material Utama</w:t>
      </w:r>
    </w:p>
    <w:p>
      <w:pPr>
        <w:pStyle w:val="ListBullet"/>
      </w:pPr>
      <w:r>
        <w:rPr>
          <w:rFonts w:ascii="Arial" w:hAnsi="Arial"/>
          <w:sz w:val="24"/>
        </w:rPr>
        <w:t>Baja Plat: ASTM A 283 Grade C (untuk shell, bottom, roof, rangka atap, gusset, stiffener, splash plate, reinforcement).</w:t>
      </w:r>
    </w:p>
    <w:p>
      <w:pPr>
        <w:pStyle w:val="ListBullet"/>
      </w:pPr>
      <w:r>
        <w:rPr>
          <w:rFonts w:ascii="Arial" w:hAnsi="Arial"/>
          <w:sz w:val="24"/>
        </w:rPr>
        <w:t>Baja Profil &amp; Pipa: UNP 100, Besi Siku L.70.70.7 &amp; L.40.40.4, Pipa Galvanis Ø1,5", Pipa API 5L Grade B Sch 40.</w:t>
      </w:r>
    </w:p>
    <w:p>
      <w:pPr>
        <w:pStyle w:val="ListBullet"/>
      </w:pPr>
      <w:r>
        <w:rPr>
          <w:rFonts w:ascii="Arial" w:hAnsi="Arial"/>
          <w:sz w:val="24"/>
        </w:rPr>
        <w:t>Beton &amp; Pondasi: Spun Pile dia. 400 mm (Mutu K450), Ready Mix K-250 &amp; K-300, Cor 1:3:5, Batu Kali Campuran 1:2:3, Asphalt ACWC.</w:t>
      </w:r>
    </w:p>
    <w:p>
      <w:pPr>
        <w:pStyle w:val="ListBullet"/>
      </w:pPr>
      <w:r>
        <w:rPr>
          <w:rFonts w:ascii="Arial" w:hAnsi="Arial"/>
          <w:sz w:val="24"/>
        </w:rPr>
        <w:t>Komponen Fitting &amp; Katup: Manhole &amp; Nozzle (ANSI #150, Sch STD), API 5L Neck, ASME B.16.5 Flange, PRV, Swing Check, Ball Valve, Gate Valve, Free Vent, Lichtgitter Steel Grating, Mur-Baut standar ASME/API (A193, A194, A216 WCB).</w:t>
      </w:r>
    </w:p>
    <w:p>
      <w:pPr>
        <w:pStyle w:val="Heading2"/>
      </w:pPr>
      <w:r>
        <w:rPr>
          <w:rFonts w:ascii="Arial" w:hAnsi="Arial"/>
          <w:color w:val="000000"/>
          <w:sz w:val="24"/>
        </w:rPr>
        <w:t>2.2 Standar Fabrikasi dan Pengelasan</w:t>
      </w:r>
    </w:p>
    <w:p>
      <w:pPr>
        <w:pStyle w:val="ListNumber"/>
      </w:pPr>
      <w:r>
        <w:rPr>
          <w:rFonts w:ascii="Arial" w:hAnsi="Arial"/>
          <w:sz w:val="24"/>
        </w:rPr>
        <w:t>Semua plat baja wajib memenuhi spesifikasi ASTM A 283 Grade C dengan sertifikat MTC/MTR yang diverifikasi.</w:t>
      </w:r>
    </w:p>
    <w:p>
      <w:pPr>
        <w:pStyle w:val="ListNumber"/>
      </w:pPr>
      <w:r>
        <w:rPr>
          <w:rFonts w:ascii="Arial" w:hAnsi="Arial"/>
          <w:sz w:val="24"/>
        </w:rPr>
        <w:t>Komponen nozzle, flange, dan fitting mengacu pada ANSI #150, Sch STD, API 5L, dan ASME B.16.5/B.16.9.</w:t>
      </w:r>
    </w:p>
    <w:p>
      <w:pPr>
        <w:pStyle w:val="ListNumber"/>
      </w:pPr>
      <w:r>
        <w:rPr>
          <w:rFonts w:ascii="Arial" w:hAnsi="Arial"/>
          <w:sz w:val="24"/>
        </w:rPr>
        <w:t>Welding Procedure Specification (WPS) dan Performance Qualification Record (PQR) wajib disetujui sebelum pelaksanaan pengelasan.</w:t>
      </w:r>
    </w:p>
    <w:p>
      <w:pPr>
        <w:pStyle w:val="ListNumber"/>
      </w:pPr>
      <w:r>
        <w:rPr>
          <w:rFonts w:ascii="Arial" w:hAnsi="Arial"/>
          <w:sz w:val="24"/>
        </w:rPr>
        <w:t>Pengelasan lapangan wajib dilakukan oleh welder bersertifikat dan divalidasi melalui NDT (Radiografi/Ultrasonik) sesuai persentase yang ditentukan dalam Inspection Test Plan (ITP).</w:t>
      </w:r>
    </w:p>
    <w:p>
      <w:pPr>
        <w:pStyle w:val="Heading2"/>
      </w:pPr>
      <w:r>
        <w:rPr>
          <w:rFonts w:ascii="Arial" w:hAnsi="Arial"/>
          <w:color w:val="000000"/>
          <w:sz w:val="24"/>
        </w:rPr>
        <w:t>2.3 Persyaratan Sistem Pelapisan (Coating)</w:t>
      </w:r>
    </w:p>
    <w:p>
      <w:pPr>
        <w:pStyle w:val="Heading1"/>
      </w:pPr>
      <w:r>
        <w:rPr>
          <w:rFonts w:ascii="Arial" w:hAnsi="Arial"/>
          <w:color w:val="000000"/>
          <w:sz w:val="28"/>
        </w:rPr>
        <w:t>BAB III - RUANG LINGKUP EKSEKUSI DAN KUANTITAS</w:t>
      </w:r>
    </w:p>
    <w:p>
      <w:pPr>
        <w:pStyle w:val="Heading2"/>
      </w:pPr>
      <w:r>
        <w:rPr>
          <w:rFonts w:ascii="Arial" w:hAnsi="Arial"/>
          <w:color w:val="000000"/>
          <w:sz w:val="24"/>
        </w:rPr>
        <w:t>3.1 Pekerjaan Persiapan dan Mobilisasi</w:t>
      </w:r>
    </w:p>
    <w:p>
      <w:pPr>
        <w:spacing w:line="360" w:lineRule="auto" w:after="120"/>
      </w:pPr>
      <w:r>
        <w:rPr>
          <w:rFonts w:ascii="Arial" w:hAnsi="Arial"/>
          <w:sz w:val="24"/>
        </w:rPr>
        <w:t>Kontraktor wajib menyediakan direksi kit kontainer, melakukan survei engineering detail, menyusun shop drawing, menyiapkan fasilitas HSSE, menyewa scaffolding, serta melaksanakan mobilisasi dan demobilisasi tenaga kerja dan peralatan pendukung ke lokasi proyek.</w:t>
      </w:r>
    </w:p>
    <w:p>
      <w:pPr>
        <w:pStyle w:val="Heading2"/>
      </w:pPr>
      <w:r>
        <w:rPr>
          <w:rFonts w:ascii="Arial" w:hAnsi="Arial"/>
          <w:color w:val="000000"/>
          <w:sz w:val="24"/>
        </w:rPr>
        <w:t>3.2 Pekerjaan Pondasi dan Struktur Bawah</w:t>
      </w:r>
    </w:p>
    <w:p>
      <w:pPr>
        <w:pStyle w:val="ListNumber"/>
      </w:pPr>
      <w:r>
        <w:rPr>
          <w:rFonts w:ascii="Arial" w:hAnsi="Arial"/>
          <w:sz w:val="24"/>
        </w:rPr>
        <w:t>Pemancangan 25 titik spun pile menggunakan HSPD dengan total panjang terpasang 450 m.</w:t>
      </w:r>
    </w:p>
    <w:p>
      <w:pPr>
        <w:pStyle w:val="ListNumber"/>
      </w:pPr>
      <w:r>
        <w:rPr>
          <w:rFonts w:ascii="Arial" w:hAnsi="Arial"/>
          <w:sz w:val="24"/>
        </w:rPr>
        <w:t>Galian tanah dan urugan pasir pilihan dengan volume ±721 m³.</w:t>
      </w:r>
    </w:p>
    <w:p>
      <w:pPr>
        <w:pStyle w:val="ListNumber"/>
      </w:pPr>
      <w:r>
        <w:rPr>
          <w:rFonts w:ascii="Arial" w:hAnsi="Arial"/>
          <w:sz w:val="24"/>
        </w:rPr>
        <w:t>Pengecoran terusan pile cap dan poer/lantai beton dengan volume ±21,60 m³ dan ±75,14 m³ menggunakan ready mix K-250/K-300.</w:t>
      </w:r>
    </w:p>
    <w:p>
      <w:pPr>
        <w:pStyle w:val="ListNumber"/>
      </w:pPr>
      <w:r>
        <w:rPr>
          <w:rFonts w:ascii="Arial" w:hAnsi="Arial"/>
          <w:sz w:val="24"/>
        </w:rPr>
        <w:t>Pemasangan bekisting berulang dengan luas ±168 m² dan finishing paving aspal ACWC seluas 110,05 m².</w:t>
      </w:r>
    </w:p>
    <w:p>
      <w:pPr>
        <w:pStyle w:val="Heading2"/>
      </w:pPr>
      <w:r>
        <w:rPr>
          <w:rFonts w:ascii="Arial" w:hAnsi="Arial"/>
          <w:color w:val="000000"/>
          <w:sz w:val="24"/>
        </w:rPr>
        <w:t>3.3 Fabrikasi dan Erection Tangki Timbun</w:t>
      </w:r>
    </w:p>
    <w:p>
      <w:pPr>
        <w:pStyle w:val="ListNumber"/>
      </w:pPr>
      <w:r>
        <w:rPr>
          <w:rFonts w:ascii="Arial" w:hAnsi="Arial"/>
          <w:sz w:val="24"/>
        </w:rPr>
        <w:t>Perakitan plat shell (6 ring, total ±18,9 ton), plat bottom (±8,4 ton), dan plat roof (±6,3 ton).</w:t>
      </w:r>
    </w:p>
    <w:p>
      <w:pPr>
        <w:pStyle w:val="ListNumber"/>
      </w:pPr>
      <w:r>
        <w:rPr>
          <w:rFonts w:ascii="Arial" w:hAnsi="Arial"/>
          <w:sz w:val="24"/>
        </w:rPr>
        <w:t>Pengelasan lapangan seluruh sambungan struktur utama dengan pengawasan QA/QC ketat.</w:t>
      </w:r>
    </w:p>
    <w:p>
      <w:pPr>
        <w:pStyle w:val="ListNumber"/>
      </w:pPr>
      <w:r>
        <w:rPr>
          <w:rFonts w:ascii="Arial" w:hAnsi="Arial"/>
          <w:sz w:val="24"/>
        </w:rPr>
        <w:t>Pemasangan rangka atap, tangga darurat, platform walkway, handrail dalam &amp; luar, serta splash plate menggunakan crane darat 25 ton.</w:t>
      </w:r>
    </w:p>
    <w:p>
      <w:pPr>
        <w:pStyle w:val="ListNumber"/>
      </w:pPr>
      <w:r>
        <w:rPr>
          <w:rFonts w:ascii="Arial" w:hAnsi="Arial"/>
          <w:sz w:val="24"/>
        </w:rPr>
        <w:t>Verifikasi dimensi dan alignment tangki sebelum aplikasi coating dimulai.</w:t>
      </w:r>
    </w:p>
    <w:p>
      <w:pPr>
        <w:pStyle w:val="Heading2"/>
      </w:pPr>
      <w:r>
        <w:rPr>
          <w:rFonts w:ascii="Arial" w:hAnsi="Arial"/>
          <w:color w:val="000000"/>
          <w:sz w:val="24"/>
        </w:rPr>
        <w:t>3.4 Instalasi Fitting, Piping dan Sistem Grounding</w:t>
      </w:r>
    </w:p>
    <w:p>
      <w:pPr>
        <w:pStyle w:val="ListBullet"/>
      </w:pPr>
      <w:r>
        <w:rPr>
          <w:rFonts w:ascii="Arial" w:hAnsi="Arial"/>
          <w:sz w:val="24"/>
        </w:rPr>
        <w:t>Pemasangan manhole dan nozzle berbagai ukuran (ø4"–ø24") dengan flange ANSI #150 Sch STD.</w:t>
      </w:r>
    </w:p>
    <w:p>
      <w:pPr>
        <w:pStyle w:val="ListBullet"/>
      </w:pPr>
      <w:r>
        <w:rPr>
          <w:rFonts w:ascii="Arial" w:hAnsi="Arial"/>
          <w:sz w:val="24"/>
        </w:rPr>
        <w:t>Instalasi pipa Ø1,5" sepanjang 18 m dilengkapi elbow, tee, flange, dan katup kontrol (PRV, Swing Check, Ball Valve, Gate Valve).</w:t>
      </w:r>
    </w:p>
    <w:p>
      <w:pPr>
        <w:pStyle w:val="ListBullet"/>
      </w:pPr>
      <w:r>
        <w:rPr>
          <w:rFonts w:ascii="Arial" w:hAnsi="Arial"/>
          <w:sz w:val="24"/>
        </w:rPr>
        <w:t>Pemasangan sistem earthing/grounding dengan hambatan tanah maksimum 4 ohm sesuai ketentuan teknis Dirjen Migas.</w:t>
      </w:r>
    </w:p>
    <w:p>
      <w:pPr>
        <w:pStyle w:val="ListBullet"/>
      </w:pPr>
      <w:r>
        <w:rPr>
          <w:rFonts w:ascii="Arial" w:hAnsi="Arial"/>
          <w:sz w:val="24"/>
        </w:rPr>
        <w:t>Integrasi breather valve, emergency vent, dan product drain untuk operasi tangki yang aman.</w:t>
      </w:r>
    </w:p>
    <w:p>
      <w:pPr>
        <w:pStyle w:val="Heading1"/>
      </w:pPr>
      <w:r>
        <w:rPr>
          <w:rFonts w:ascii="Arial" w:hAnsi="Arial"/>
          <w:color w:val="000000"/>
          <w:sz w:val="28"/>
        </w:rPr>
        <w:t>BAB IV - PERSYARATAN HSSE DAN PENGAWASAN MUTU</w:t>
      </w:r>
    </w:p>
    <w:p>
      <w:pPr>
        <w:pStyle w:val="Heading2"/>
      </w:pPr>
      <w:r>
        <w:rPr>
          <w:rFonts w:ascii="Arial" w:hAnsi="Arial"/>
          <w:color w:val="000000"/>
          <w:sz w:val="24"/>
        </w:rPr>
        <w:t>4.1 Implementasi CSMS dan Manajemen Risiko HIGH</w:t>
      </w:r>
    </w:p>
    <w:p>
      <w:pPr>
        <w:spacing w:line="360" w:lineRule="auto" w:after="120"/>
      </w:pPr>
      <w:r>
        <w:rPr>
          <w:rFonts w:ascii="Arial" w:hAnsi="Arial"/>
          <w:sz w:val="24"/>
        </w:rPr>
        <w:t>Mengingat tingkat risiko pekerjaan ditetapkan sebagai HIGH, kontraktor wajib menerapkan Corporate Safety Management System (CSMS) Pertamina secara penuh. Kegiatan wajib mencakup Daily Toolbox Meeting, Job Safety Analysis (JSA) sebelum setiap aktivitas kritis, permit to work (PTW) untuk pekerjaan panas/terbatas, serta audit keselamatan mingguan oleh tim HSSE terminal.</w:t>
      </w:r>
    </w:p>
    <w:p>
      <w:pPr>
        <w:pStyle w:val="Heading2"/>
      </w:pPr>
      <w:r>
        <w:rPr>
          <w:rFonts w:ascii="Arial" w:hAnsi="Arial"/>
          <w:color w:val="000000"/>
          <w:sz w:val="24"/>
        </w:rPr>
        <w:t>4.2 Inspeksi, Pengujian dan Verifikasi Mutu</w:t>
      </w:r>
    </w:p>
    <w:p>
      <w:pPr>
        <w:pStyle w:val="ListNumber"/>
      </w:pPr>
      <w:r>
        <w:rPr>
          <w:rFonts w:ascii="Arial" w:hAnsi="Arial"/>
          <w:sz w:val="24"/>
        </w:rPr>
        <w:t>Verifikasi MTC/MTR seluruh material baja, beton, dan cat sebelum digunakan di site.</w:t>
      </w:r>
    </w:p>
    <w:p>
      <w:pPr>
        <w:pStyle w:val="ListNumber"/>
      </w:pPr>
      <w:r>
        <w:rPr>
          <w:rFonts w:ascii="Arial" w:hAnsi="Arial"/>
          <w:sz w:val="24"/>
        </w:rPr>
        <w:t>Pelaksanaan NDT (Radiografi/Ultrasonik) pada sambungan las primer dan sekunder sesuai kode pengelasan yang berlaku.</w:t>
      </w:r>
    </w:p>
    <w:p>
      <w:pPr>
        <w:pStyle w:val="ListNumber"/>
      </w:pPr>
      <w:r>
        <w:rPr>
          <w:rFonts w:ascii="Arial" w:hAnsi="Arial"/>
          <w:sz w:val="24"/>
        </w:rPr>
        <w:t>Pengukuran Ketebalan Cat (DFT Measurement) menggunakan dry film thickness gauge pada setiap lapisan coating; penolakan material/cat wajib dilakukan jika nilai DFT tidak mencapai standar minimum yang ditetapkan.</w:t>
      </w:r>
    </w:p>
    <w:p>
      <w:pPr>
        <w:pStyle w:val="ListNumber"/>
      </w:pPr>
      <w:r>
        <w:rPr>
          <w:rFonts w:ascii="Arial" w:hAnsi="Arial"/>
          <w:sz w:val="24"/>
        </w:rPr>
        <w:t>Hydrotest/Pneumatic test pada komponen piping dan fitting sesuai prosedur yang disetujui pengguna.</w:t>
      </w:r>
    </w:p>
    <w:p>
      <w:pPr>
        <w:pStyle w:val="Heading2"/>
      </w:pPr>
      <w:r>
        <w:rPr>
          <w:rFonts w:ascii="Arial" w:hAnsi="Arial"/>
          <w:color w:val="000000"/>
          <w:sz w:val="24"/>
        </w:rPr>
        <w:t>4.3 Fasilitas dan Prosedur HSSE</w:t>
      </w:r>
    </w:p>
    <w:p>
      <w:pPr>
        <w:pStyle w:val="ListBullet"/>
      </w:pPr>
      <w:r>
        <w:rPr>
          <w:rFonts w:ascii="Arial" w:hAnsi="Arial"/>
          <w:sz w:val="24"/>
        </w:rPr>
        <w:t>Penyediaan APD lengkap (helm, sepatu safety, kacamata, sarung tangan, harness) untuk seluruh pekerja.</w:t>
      </w:r>
    </w:p>
    <w:p>
      <w:pPr>
        <w:pStyle w:val="ListBullet"/>
      </w:pPr>
      <w:r>
        <w:rPr>
          <w:rFonts w:ascii="Arial" w:hAnsi="Arial"/>
          <w:sz w:val="24"/>
        </w:rPr>
        <w:t>Pemasangan barrier fisik, signage peringatan bahaya, dan rambu evakuasi di seluruh area kerja.</w:t>
      </w:r>
    </w:p>
    <w:p>
      <w:pPr>
        <w:pStyle w:val="ListBullet"/>
      </w:pPr>
      <w:r>
        <w:rPr>
          <w:rFonts w:ascii="Arial" w:hAnsi="Arial"/>
          <w:sz w:val="24"/>
        </w:rPr>
        <w:t>Penyusunan Emergency Response Plan (ERP) yang terintegrasi dengan tim SAR terminal.</w:t>
      </w:r>
    </w:p>
    <w:p>
      <w:pPr>
        <w:pStyle w:val="ListBullet"/>
      </w:pPr>
      <w:r>
        <w:rPr>
          <w:rFonts w:ascii="Arial" w:hAnsi="Arial"/>
          <w:sz w:val="24"/>
        </w:rPr>
        <w:t>Larangan mutlak bekerja saat cuaca ekstrem atau kondisi angin melebihi batas aman penggunaan crane darat 25 ton.</w:t>
      </w:r>
    </w:p>
    <w:p>
      <w:pPr>
        <w:pStyle w:val="Heading1"/>
      </w:pPr>
      <w:r>
        <w:rPr>
          <w:rFonts w:ascii="Arial" w:hAnsi="Arial"/>
          <w:color w:val="000000"/>
          <w:sz w:val="28"/>
        </w:rPr>
        <w:t>BAB V - DOKUMENTASI, JADWAL DAN MEKANISME PENERIMAAN</w:t>
      </w:r>
    </w:p>
    <w:p>
      <w:pPr>
        <w:pStyle w:val="Heading2"/>
      </w:pPr>
      <w:r>
        <w:rPr>
          <w:rFonts w:ascii="Arial" w:hAnsi="Arial"/>
          <w:color w:val="000000"/>
          <w:sz w:val="24"/>
        </w:rPr>
        <w:t>5.1 Kewajiban Dokumentasi Teknis</w:t>
      </w:r>
    </w:p>
    <w:p>
      <w:pPr>
        <w:pStyle w:val="ListBullet"/>
      </w:pPr>
      <w:r>
        <w:rPr>
          <w:rFonts w:ascii="Arial" w:hAnsi="Arial"/>
          <w:sz w:val="24"/>
        </w:rPr>
        <w:t>Kontraktor wajib menyediakan drafter standby selama 8 bulan untuk penyusunan dan revisi gambar kerja.</w:t>
      </w:r>
    </w:p>
    <w:p>
      <w:pPr>
        <w:pStyle w:val="ListBullet"/>
      </w:pPr>
      <w:r>
        <w:rPr>
          <w:rFonts w:ascii="Arial" w:hAnsi="Arial"/>
          <w:sz w:val="24"/>
        </w:rPr>
        <w:t>Pengiriman Shop Drawing, As Built Drawing, Material Approval Report, dan Laporan Bulanan secara berkala kepada pengguna.</w:t>
      </w:r>
    </w:p>
    <w:p>
      <w:pPr>
        <w:pStyle w:val="ListBullet"/>
      </w:pPr>
      <w:r>
        <w:rPr>
          <w:rFonts w:ascii="Arial" w:hAnsi="Arial"/>
          <w:sz w:val="24"/>
        </w:rPr>
        <w:t>Pencatatan harian progress fisik, logbook kegiatan, dan hasil inspeksi laboratorium/material.</w:t>
      </w:r>
    </w:p>
    <w:p>
      <w:pPr>
        <w:pStyle w:val="ListBullet"/>
      </w:pPr>
      <w:r>
        <w:rPr>
          <w:rFonts w:ascii="Arial" w:hAnsi="Arial"/>
          <w:sz w:val="24"/>
        </w:rPr>
        <w:t>Arsip digital dan hardcopy seluruh dokumentasi diserahkan pada tahap serah terima akhir.</w:t>
      </w:r>
    </w:p>
    <w:p>
      <w:pPr>
        <w:pStyle w:val="Heading2"/>
      </w:pPr>
      <w:r>
        <w:rPr>
          <w:rFonts w:ascii="Arial" w:hAnsi="Arial"/>
          <w:color w:val="000000"/>
          <w:sz w:val="24"/>
        </w:rPr>
        <w:t>5.2 Jadwal Pelaksanaan Pekerjaan</w:t>
      </w:r>
    </w:p>
    <w:p>
      <w:pPr>
        <w:spacing w:line="360" w:lineRule="auto" w:after="120"/>
      </w:pPr>
      <w:r>
        <w:rPr>
          <w:rFonts w:ascii="Arial" w:hAnsi="Arial"/>
          <w:sz w:val="24"/>
        </w:rPr>
        <w:t>Jadwal pelaksanaan pekerjaan akan diatur dalam Gantt Chart yang terintegrasi dengan master schedule proyek. Tahapan utama meliputi: Persiapan &amp; Mobilisasi (Bulan 1), Pekerjaan Pondasi (Bulan 2-3), Fabrikasi &amp; Erection Tangki (Bulan 3-5), Aplikasi Coating &amp; Instalasi Fitting/Piping (Bulan 5-6), serta Commissioning &amp; Serah Terima (Bulan 7-8). Setiap milestone wajib dilaporkan dan diverifikasi bersama pengguna.</w:t>
      </w:r>
    </w:p>
    <w:p>
      <w:pPr>
        <w:pStyle w:val="Heading2"/>
      </w:pPr>
      <w:r>
        <w:rPr>
          <w:rFonts w:ascii="Arial" w:hAnsi="Arial"/>
          <w:color w:val="000000"/>
          <w:sz w:val="24"/>
        </w:rPr>
        <w:t>5.3 Mekanisme Penerimaan dan Punch List</w:t>
      </w:r>
    </w:p>
    <w:p>
      <w:pPr>
        <w:pStyle w:val="ListNumber"/>
      </w:pPr>
      <w:r>
        <w:rPr>
          <w:rFonts w:ascii="Arial" w:hAnsi="Arial"/>
          <w:sz w:val="24"/>
        </w:rPr>
        <w:t>Pekerjaan dianggap selesai secara fisik setelah seluruh item dalam ruang lingkup terpasang dan berfungsi normal.</w:t>
      </w:r>
    </w:p>
    <w:p>
      <w:pPr>
        <w:pStyle w:val="ListNumber"/>
      </w:pPr>
      <w:r>
        <w:rPr>
          <w:rFonts w:ascii="Arial" w:hAnsi="Arial"/>
          <w:sz w:val="24"/>
        </w:rPr>
        <w:t>Pelaksanaan Joint Inspection untuk menyusun Snag List/Punch List; kontraktor wajib menyelesaikan seluruh poin dalam waktu maksimal 14 hari kalender.</w:t>
      </w:r>
    </w:p>
    <w:p>
      <w:pPr>
        <w:pStyle w:val="ListNumber"/>
      </w:pPr>
      <w:r>
        <w:rPr>
          <w:rFonts w:ascii="Arial" w:hAnsi="Arial"/>
          <w:sz w:val="24"/>
        </w:rPr>
        <w:t>Serah terima resmi hanya dapat dilakukan setelah semua dokumen teknis lengkap, hasil pengujian (NDT, DFT, Grounding Resistance) memenuhi standar, dan tidak terdapat defect kritis yang belum terselesaikan.</w:t>
      </w:r>
    </w:p>
    <w:p>
      <w:pPr>
        <w:pStyle w:val="ListNumber"/>
      </w:pPr>
      <w:r>
        <w:rPr>
          <w:rFonts w:ascii="Arial" w:hAnsi="Arial"/>
          <w:sz w:val="24"/>
        </w:rPr>
        <w:t>Proses penerimaan mengikuti mekanisme administrasi dan keuangan yang berlaku di PT Pertamina (Persero).</w:t>
      </w:r>
    </w:p>
    <w:sectPr w:rsidR="00FC693F" w:rsidRPr="0006063C" w:rsidSect="00034616">
      <w:headerReference w:type="default" r:id="rId10"/>
      <w:footerReference w:type="default" r:id="rId11"/>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000000"/>
      </w:pBdr>
    </w:pPr>
    <w:r>
      <w:rPr>
        <w:rFonts w:ascii="Arial" w:hAnsi="Arial"/>
        <w:sz w:val="16"/>
      </w:rPr>
      <w:t xml:space="preserve">No. Dok: RKS-[1242155]-[2026]  |  </w:t>
    </w:r>
    <w:r>
      <w:rPr>
        <w:rFonts w:ascii="Arial" w:hAnsi="Arial"/>
        <w:sz w:val="16"/>
      </w:rPr>
      <w:t xml:space="preserve">Hal.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000000"/>
      </w:pBdr>
    </w:pPr>
    <w:r>
      <w:drawing>
        <wp:inline xmlns:a="http://schemas.openxmlformats.org/drawingml/2006/main" xmlns:pic="http://schemas.openxmlformats.org/drawingml/2006/picture">
          <wp:extent cx="1851429" cy="432000"/>
          <wp:docPr id="1" name="Picture 1"/>
          <wp:cNvGraphicFramePr>
            <a:graphicFrameLocks noChangeAspect="1"/>
          </wp:cNvGraphicFramePr>
          <a:graphic>
            <a:graphicData uri="http://schemas.openxmlformats.org/drawingml/2006/picture">
              <pic:pic>
                <pic:nvPicPr>
                  <pic:cNvPr id="0" name="logo_pertamina.png"/>
                  <pic:cNvPicPr/>
                </pic:nvPicPr>
                <pic:blipFill>
                  <a:blip r:embed="rId1"/>
                  <a:stretch>
                    <a:fillRect/>
                  </a:stretch>
                </pic:blipFill>
                <pic:spPr>
                  <a:xfrm>
                    <a:off x="0" y="0"/>
                    <a:ext cx="1851429" cy="432000"/>
                  </a:xfrm>
                  <a:prstGeom prst="rect"/>
                </pic:spPr>
              </pic:pic>
            </a:graphicData>
          </a:graphic>
        </wp:inline>
      </w:drawing>
    </w:r>
    <w:r>
      <w:t xml:space="preserve">  </w:t>
    </w:r>
    <w:r>
      <w:rPr>
        <w:rFonts w:ascii="Arial" w:hAnsi="Arial"/>
        <w:b/>
        <w:sz w:val="18"/>
      </w:rPr>
      <w:t>PT PERTAMINA (PERSERO)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