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jc w:val="center"/>
        <w:tblLook w:firstColumn="1" w:firstRow="1" w:lastColumn="0" w:lastRow="0" w:noHBand="0" w:noVBand="1" w:val="04A0"/>
      </w:tblPr>
      <w:tblGrid>
        <w:gridCol w:w="9122"/>
      </w:tblGrid>
      <w:tr>
        <w:tc>
          <w:tcPr>
            <w:tcW w:type="dxa" w:w="9122"/>
            <w:tcBorders>
              <w:top w:val="single" w:sz="8" w:space="0" w:color="000000"/>
              <w:bottom w:val="single" w:sz="8" w:space="0" w:color="000000"/>
              <w:left w:val="single" w:sz="8" w:space="0" w:color="000000"/>
              <w:right w:val="single" w:sz="8" w:space="0" w:color="000000"/>
            </w:tcBorders>
          </w:tcPr>
          <w:p>
            <w:pPr>
              <w:jc w:val="center"/>
            </w:pPr>
            <w:r>
              <w:rPr>
                <w:rFonts w:ascii="Arial" w:hAnsi="Arial"/>
                <w:b/>
                <w:sz w:val="32"/>
              </w:rPr>
              <w:t>RENCANA KERJA DAN SYARAT-SYARAT</w:t>
              <w:br/>
              <w:t>(RKS)</w:t>
            </w:r>
          </w:p>
        </w:tc>
      </w:tr>
    </w:tbl>
    <w:p/>
    <w:tbl>
      <w:tblPr>
        <w:tblW w:type="auto" w:w="0"/>
        <w:jc w:val="center"/>
        <w:tblLook w:firstColumn="1" w:firstRow="1" w:lastColumn="0" w:lastRow="0" w:noHBand="0" w:noVBand="1" w:val="04A0"/>
      </w:tblPr>
      <w:tblGrid>
        <w:gridCol w:w="9122"/>
      </w:tblGrid>
      <w:tr>
        <w:tc>
          <w:tcPr>
            <w:tcW w:type="dxa" w:w="9122"/>
            <w:tcBorders>
              <w:top w:val="single" w:sz="8" w:space="0" w:color="000000"/>
              <w:bottom w:val="single" w:sz="8" w:space="0" w:color="000000"/>
              <w:left w:val="single" w:sz="8" w:space="0" w:color="000000"/>
              <w:right w:val="single" w:sz="8" w:space="0" w:color="000000"/>
            </w:tcBorders>
          </w:tcPr>
          <w:p>
            <w:pPr>
              <w:jc w:val="center"/>
            </w:pPr>
            <w:r>
              <w:rPr>
                <w:rFonts w:ascii="Arial" w:hAnsi="Arial"/>
                <w:b/>
                <w:sz w:val="24"/>
              </w:rPr>
              <w:t>Pembangunan Tangki Air Kapasitas 1000Kl</w:t>
            </w:r>
          </w:p>
        </w:tc>
      </w:tr>
    </w:tbl>
    <w:p/>
    <w:p>
      <w:pPr>
        <w:spacing w:before="240" w:after="240"/>
        <w:jc w:val="center"/>
      </w:pPr>
      <w:r>
        <w:rPr>
          <w:rFonts w:ascii="Arial" w:hAnsi="Arial"/>
          <w:b/>
          <w:sz w:val="24"/>
        </w:rPr>
        <w:t>Bidder List No: ______________________________</w:t>
      </w:r>
    </w:p>
    <w:p>
      <w:pPr>
        <w:spacing w:before="240" w:after="120"/>
        <w:jc w:val="center"/>
      </w:pPr>
      <w:r>
        <w:rPr>
          <w:rFonts w:ascii="Arial" w:hAnsi="Arial"/>
          <w:b/>
          <w:sz w:val="24"/>
        </w:rPr>
        <w:t>RESIKO PEKERJAAN (ASPEK CSMS):</w:t>
      </w:r>
    </w:p>
    <w:p>
      <w:pPr>
        <w:spacing w:before="0" w:after="360"/>
        <w:jc w:val="center"/>
      </w:pPr>
      <w:r>
        <w:rPr>
          <w:rFonts w:ascii="Arial" w:hAnsi="Arial"/>
          <w:b/>
          <w:sz w:val="24"/>
        </w:rPr>
        <w:t>☐ HIGH     ☐ MIDDLE     ☑ LOW</w:t>
      </w:r>
    </w:p>
    <w:p>
      <w:pPr>
        <w:jc w:val="center"/>
      </w:pPr>
      <w:r>
        <w:drawing>
          <wp:inline xmlns:a="http://schemas.openxmlformats.org/drawingml/2006/main" xmlns:pic="http://schemas.openxmlformats.org/drawingml/2006/picture">
            <wp:extent cx="1800000" cy="420000"/>
            <wp:docPr id="1" name="Picture 1"/>
            <wp:cNvGraphicFramePr>
              <a:graphicFrameLocks noChangeAspect="1"/>
            </wp:cNvGraphicFramePr>
            <a:graphic>
              <a:graphicData uri="http://schemas.openxmlformats.org/drawingml/2006/picture">
                <pic:pic>
                  <pic:nvPicPr>
                    <pic:cNvPr id="0" name="logo_pertamina.png"/>
                    <pic:cNvPicPr/>
                  </pic:nvPicPr>
                  <pic:blipFill>
                    <a:blip r:embed="rId9"/>
                    <a:stretch>
                      <a:fillRect/>
                    </a:stretch>
                  </pic:blipFill>
                  <pic:spPr>
                    <a:xfrm>
                      <a:off x="0" y="0"/>
                      <a:ext cx="1800000" cy="420000"/>
                    </a:xfrm>
                    <a:prstGeom prst="rect"/>
                  </pic:spPr>
                </pic:pic>
              </a:graphicData>
            </a:graphic>
          </wp:inline>
        </w:drawing>
      </w:r>
    </w:p>
    <w:p>
      <w:pPr>
        <w:spacing w:before="240" w:after="240"/>
      </w:pPr>
    </w:p>
    <w:p>
      <w:pPr>
        <w:spacing w:before="240" w:after="240"/>
      </w:pPr>
    </w:p>
    <w:p>
      <w:pPr>
        <w:spacing w:before="240" w:after="240"/>
      </w:pPr>
    </w:p>
    <w:p>
      <w:pPr>
        <w:spacing w:before="240" w:after="240"/>
      </w:pPr>
    </w:p>
    <w:p>
      <w:pPr>
        <w:spacing w:before="0" w:after="0"/>
        <w:jc w:val="center"/>
      </w:pPr>
      <w:r>
        <w:rPr>
          <w:rFonts w:ascii="Arial" w:hAnsi="Arial"/>
          <w:b/>
          <w:sz w:val="24"/>
        </w:rPr>
        <w:t>PT PERTAMINA (PERSERO)</w:t>
      </w:r>
    </w:p>
    <w:p>
      <w:pPr>
        <w:sectPr>
          <w:pgSz w:w="12240" w:h="15840"/>
          <w:pgMar w:top="1701" w:right="1417" w:bottom="1417" w:left="1701"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480" w:after="480"/>
        <w:jc w:val="center"/>
      </w:pPr>
      <w:r>
        <w:rPr>
          <w:rFonts w:ascii="Arial" w:hAnsi="Arial"/>
          <w:b/>
          <w:sz w:val="28"/>
        </w:rPr>
        <w:t>LEMBAR PENGESAHAN</w:t>
      </w:r>
    </w:p>
    <w:tbl>
      <w:tblPr>
        <w:tblW w:type="auto" w:w="0"/>
        <w:jc w:val="center"/>
        <w:tblLook w:firstColumn="1" w:firstRow="1" w:lastColumn="0" w:lastRow="0" w:noHBand="0" w:noVBand="1" w:val="04A0"/>
      </w:tblPr>
      <w:tblGrid>
        <w:gridCol w:w="3041"/>
        <w:gridCol w:w="3041"/>
        <w:gridCol w:w="3041"/>
      </w:tblGrid>
      <w:tr>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Nama / Jabatan</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Tanda Tangan</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Disusun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Kepala Bidang Teknik &amp; Konstruksi</w:t>
              <w:br/>
              <w:t>Manager Engineering</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Diperiksa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Direktur Operasi &amp; Maintenance</w:t>
              <w:br/>
              <w:t>Direktur Utama</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Disetujui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Direktur Utama</w:t>
              <w:br/>
              <w:t>Direktur Utama</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bl>
    <w:p>
      <w:r>
        <w:br w:type="page"/>
      </w:r>
    </w:p>
    <w:p>
      <w:pPr>
        <w:spacing w:before="480" w:after="360"/>
        <w:jc w:val="center"/>
      </w:pPr>
      <w:r>
        <w:rPr>
          <w:rFonts w:ascii="Arial" w:hAnsi="Arial"/>
          <w:b/>
          <w:sz w:val="28"/>
        </w:rPr>
        <w:t>DAFTAR ISI</w:t>
      </w:r>
    </w:p>
    <w:p>
      <w:r>
        <w:fldChar w:fldCharType="begin"/>
      </w:r>
      <w:r>
        <w:instrText xml:space="preserve"> TOC \o "1-3" \h \z \u </w:instrText>
      </w:r>
      <w:r>
        <w:fldChar w:fldCharType="separate"/>
      </w:r>
      <w:r>
        <w:rPr>
          <w:rFonts w:ascii="Arial" w:hAnsi="Arial"/>
          <w:color w:val="808080"/>
          <w:sz w:val="22"/>
        </w:rPr>
        <w:t>(Tekan F9 di Microsoft Word untuk update Daftar Isi)</w:t>
      </w:r>
      <w:r>
        <w:fldChar w:fldCharType="end"/>
      </w:r>
    </w:p>
    <w:p>
      <w:r>
        <w:br w:type="page"/>
      </w:r>
    </w:p>
    <w:p>
      <w:pPr>
        <w:sectPr>
          <w:pgSz w:w="12240" w:h="15840"/>
          <w:pgMar w:top="1701" w:right="1417" w:bottom="1417" w:left="1701" w:header="720" w:footer="720" w:gutter="0"/>
          <w:cols w:space="720"/>
          <w:docGrid w:linePitch="360"/>
        </w:sectPr>
      </w:pPr>
    </w:p>
    <w:p>
      <w:pPr>
        <w:pStyle w:val="Heading1"/>
      </w:pPr>
      <w:r>
        <w:rPr>
          <w:rFonts w:ascii="Arial" w:hAnsi="Arial"/>
          <w:color w:val="000000"/>
          <w:sz w:val="28"/>
        </w:rPr>
        <w:t>BAB I - PENDAHULUAN</w:t>
      </w:r>
    </w:p>
    <w:p>
      <w:pPr>
        <w:pStyle w:val="Heading2"/>
      </w:pPr>
      <w:r>
        <w:rPr>
          <w:rFonts w:ascii="Arial" w:hAnsi="Arial"/>
          <w:color w:val="000000"/>
          <w:sz w:val="24"/>
        </w:rPr>
        <w:t>1.1 Ruang Lingkup Pekerjaan</w:t>
      </w:r>
    </w:p>
    <w:p>
      <w:pPr>
        <w:pStyle w:val="ListNumber"/>
      </w:pPr>
      <w:r>
        <w:rPr>
          <w:rFonts w:ascii="Arial" w:hAnsi="Arial"/>
          <w:sz w:val="24"/>
        </w:rPr>
        <w:t>Pekerjaan mencakup pembangunan tangki air kapasitas 1.000 KL di lokasi Fuel Terminal Siantar, meliputi persiapan lahan, pekerjaan pondasi spun pile, konstruksi beton poer dan slab, fabrikasi serta erection struktur baja tangki (shell, bottom, roof), aplikasi sistem pengecatan anti-korosi, instalasi fitting mekanikal, perpipaan, valve, dan sistem grounding.</w:t>
      </w:r>
    </w:p>
    <w:p>
      <w:pPr>
        <w:pStyle w:val="ListNumber"/>
      </w:pPr>
      <w:r>
        <w:rPr>
          <w:rFonts w:ascii="Arial" w:hAnsi="Arial"/>
          <w:sz w:val="24"/>
        </w:rPr>
        <w:t>Kontraktor bertanggung jawab penuh atas penyediaan material, tenaga kerja terampil, peralatan, scaffolding, direksi kit kontainer, serta seluruh dokumen teknis mulai dari shop drawing hingga as-built drawing.</w:t>
      </w:r>
    </w:p>
    <w:p>
      <w:pPr>
        <w:pStyle w:val="ListNumber"/>
      </w:pPr>
      <w:r>
        <w:rPr>
          <w:rFonts w:ascii="Arial" w:hAnsi="Arial"/>
          <w:sz w:val="24"/>
        </w:rPr>
        <w:t>Seluruh pekerjaan harus dilaksanakan sesuai dengan Rencana Kerja dan Syarat-Syarat (RKS) ini serta Berita Acara Penjelasan Pekerjaan sehingga kualitas pekerjaan dapat dipertanggungjawabkan dan memuaskan Pemberi Pekerjaan.</w:t>
      </w:r>
    </w:p>
    <w:p>
      <w:pPr>
        <w:pStyle w:val="Heading2"/>
      </w:pPr>
      <w:r>
        <w:rPr>
          <w:rFonts w:ascii="Arial" w:hAnsi="Arial"/>
          <w:color w:val="000000"/>
          <w:sz w:val="24"/>
        </w:rPr>
        <w:t>1.2 Lokasi dan Kondisi Umum</w:t>
      </w:r>
    </w:p>
    <w:p>
      <w:pPr>
        <w:spacing w:line="360" w:lineRule="auto" w:after="120"/>
      </w:pPr>
      <w:r>
        <w:rPr>
          <w:rFonts w:ascii="Arial" w:hAnsi="Arial"/>
          <w:sz w:val="24"/>
        </w:rPr>
        <w:t>Pekerjaan dilaksanakan di area Fuel Terminal Siantar yang merupakan fasilitas operasional kritis PT Pertamina (Persero). Kondisi site memerlukan koordinasi ketat terhadap aktivitas terminal yang masih berjalan, pengendalian debu, pembatas area kerja, serta penerapan prosedur izin kerja (Work Permit) yang berlaku di kawasan berisiko tinggi. Akses logistik dan jalur evakuasi darurat harus tetap terjaga selama masa konstruksi.</w:t>
      </w:r>
    </w:p>
    <w:p>
      <w:pPr>
        <w:pStyle w:val="Heading2"/>
      </w:pPr>
      <w:r>
        <w:rPr>
          <w:rFonts w:ascii="Arial" w:hAnsi="Arial"/>
          <w:color w:val="000000"/>
          <w:sz w:val="24"/>
        </w:rPr>
        <w:t>1.3 Penilaian Risiko CSMS</w:t>
      </w:r>
    </w:p>
    <w:p>
      <w:pPr>
        <w:spacing w:line="360" w:lineRule="auto" w:after="120"/>
      </w:pPr>
      <w:r>
        <w:rPr>
          <w:rFonts w:ascii="Arial" w:hAnsi="Arial"/>
          <w:sz w:val="24"/>
        </w:rPr>
        <w:t>Berdasarkan analisis awal, tingkat risiko pekerjaan dikategorikan sebagai LOW (Rendah). Meskipun demikian, kontraktor wajib menerapkan manajemen keselamatan berbasis sistem (CSMS), melakukan toolbox meeting harian, menyediakan APD lengkap, safety line, fire blanket, dan genset cadangan. Intervensi segera dilakukan jika ditemukan personil yang membuang sampah sembarangan atau meninggalkan sisa material di area kerja untuk menjaga kondisi site tetap aman dan tertib.</w:t>
      </w:r>
    </w:p>
    <w:p>
      <w:pPr>
        <w:pStyle w:val="Heading1"/>
      </w:pPr>
      <w:r>
        <w:rPr>
          <w:rFonts w:ascii="Arial" w:hAnsi="Arial"/>
          <w:color w:val="000000"/>
          <w:sz w:val="28"/>
        </w:rPr>
        <w:t>BAB II - SPESIFIKASI TEKNIS DAN MATERIAL</w:t>
      </w:r>
    </w:p>
    <w:p>
      <w:pPr>
        <w:pStyle w:val="Heading2"/>
      </w:pPr>
      <w:r>
        <w:rPr>
          <w:rFonts w:ascii="Arial" w:hAnsi="Arial"/>
          <w:color w:val="000000"/>
          <w:sz w:val="24"/>
        </w:rPr>
        <w:t>2.1 Material Struktur &amp; Pondasi</w:t>
      </w:r>
    </w:p>
    <w:p>
      <w:pPr>
        <w:pStyle w:val="ListBullet"/>
      </w:pPr>
      <w:r>
        <w:rPr>
          <w:rFonts w:ascii="Arial" w:hAnsi="Arial"/>
          <w:sz w:val="24"/>
        </w:rPr>
        <w:t>Tiang pancang spun pile tipe A3 dengan diameter Ø400 mm, mutu beton K450, panjang total 20 meter per tiang (total 25 titik).</w:t>
      </w:r>
    </w:p>
    <w:p>
      <w:pPr>
        <w:pStyle w:val="ListBullet"/>
      </w:pPr>
      <w:r>
        <w:rPr>
          <w:rFonts w:ascii="Arial" w:hAnsi="Arial"/>
          <w:sz w:val="24"/>
        </w:rPr>
        <w:t>Beton ready mix menggunakan mutu K250 untuk terusan/pile cap dan mutu K300 untuk poer, lantai kerja, dan slab beton bertulang.</w:t>
      </w:r>
    </w:p>
    <w:p>
      <w:pPr>
        <w:pStyle w:val="ListBullet"/>
      </w:pPr>
      <w:r>
        <w:rPr>
          <w:rFonts w:ascii="Arial" w:hAnsi="Arial"/>
          <w:sz w:val="24"/>
        </w:rPr>
        <w:t>Urugan pasir pilihan di bawah tangki dengan volume ±680,84 m³, harus dipadatkan hingga mencapai densitas minimum sesuai hasil uji laboratorium.</w:t>
      </w:r>
    </w:p>
    <w:p>
      <w:pPr>
        <w:pStyle w:val="ListBullet"/>
      </w:pPr>
      <w:r>
        <w:rPr>
          <w:rFonts w:ascii="Arial" w:hAnsi="Arial"/>
          <w:sz w:val="24"/>
        </w:rPr>
        <w:t>Pelapisan lantai kerja menggunakan asphalt ACWC dengan luas permukaan ±110,05 m².</w:t>
      </w:r>
    </w:p>
    <w:p>
      <w:pPr>
        <w:pStyle w:val="Heading2"/>
      </w:pPr>
      <w:r>
        <w:rPr>
          <w:rFonts w:ascii="Arial" w:hAnsi="Arial"/>
          <w:color w:val="000000"/>
          <w:sz w:val="24"/>
        </w:rPr>
        <w:t>2.2 Material Baja &amp; Komponen Mekanikal</w:t>
      </w:r>
    </w:p>
    <w:p>
      <w:pPr>
        <w:pStyle w:val="ListBullet"/>
      </w:pPr>
      <w:r>
        <w:rPr>
          <w:rFonts w:ascii="Arial" w:hAnsi="Arial"/>
          <w:sz w:val="24"/>
        </w:rPr>
        <w:t>Plat baja karbon utama shell, bottom, dan roof memenuhi standar ASTM A 283 Grade C dengan ketebalan bervariasi 4–20 mm (estimasi berat ±33,6 ton).</w:t>
      </w:r>
    </w:p>
    <w:p>
      <w:pPr>
        <w:pStyle w:val="ListBullet"/>
      </w:pPr>
      <w:r>
        <w:rPr>
          <w:rFonts w:ascii="Arial" w:hAnsi="Arial"/>
          <w:sz w:val="24"/>
        </w:rPr>
        <w:t>Profil pendukung menggunakan Unp 100, besi siku 70×70×7 mm &amp; 40×40×4 mm, serta Lichtgitter steel grating Hot Dip Galvanize untuk platform dan walkway.</w:t>
      </w:r>
    </w:p>
    <w:p>
      <w:pPr>
        <w:pStyle w:val="ListBullet"/>
      </w:pPr>
      <w:r>
        <w:rPr>
          <w:rFonts w:ascii="Arial" w:hAnsi="Arial"/>
          <w:sz w:val="24"/>
        </w:rPr>
        <w:t>Flange mengacu pada ANSI Class #150 &amp; ASME B.16.5/B.16.9. Pipa mengacu pada API 5L Grade B Sch 40. Valve mengacu pada API 600/BS1868 (gate, ball, swing check, pressure relief, free vent).</w:t>
      </w:r>
    </w:p>
    <w:p>
      <w:pPr>
        <w:pStyle w:val="ListBullet"/>
      </w:pPr>
      <w:r>
        <w:rPr>
          <w:rFonts w:ascii="Arial" w:hAnsi="Arial"/>
          <w:sz w:val="24"/>
        </w:rPr>
        <w:t>Material baut dan mur mengikuti standar A193/A194 dengan pelindung korosi sesuai zona aplikasi.</w:t>
      </w:r>
    </w:p>
    <w:p>
      <w:pPr>
        <w:pStyle w:val="Heading2"/>
      </w:pPr>
      <w:r>
        <w:rPr>
          <w:rFonts w:ascii="Arial" w:hAnsi="Arial"/>
          <w:color w:val="000000"/>
          <w:sz w:val="24"/>
        </w:rPr>
        <w:t>2.3 Spesifikasi Pengecatan (Coating)</w:t>
      </w:r>
    </w:p>
    <w:p>
      <w:pPr>
        <w:pStyle w:val="ListNumber"/>
      </w:pPr>
      <w:r>
        <w:rPr>
          <w:rFonts w:ascii="Arial" w:hAnsi="Arial"/>
          <w:sz w:val="24"/>
        </w:rPr>
        <w:t>Persiapan permukaan wajib dilakukan blast cleaning hingga standar ISO 8501-1 : Sa 2.5 / SSPC-SP10 sebelum aplikasi cat.</w:t>
      </w:r>
    </w:p>
    <w:p>
      <w:pPr>
        <w:pStyle w:val="ListNumber"/>
      </w:pPr>
      <w:r>
        <w:rPr>
          <w:rFonts w:ascii="Arial" w:hAnsi="Arial"/>
          <w:sz w:val="24"/>
        </w:rPr>
        <w:t>Ketebalan minimum coating ditetapkan 250–275 µm (DFT) dengan metode airless spray sesuai zona aplikasi.</w:t>
      </w:r>
    </w:p>
    <w:p>
      <w:pPr>
        <w:pStyle w:val="ListNumber"/>
      </w:pPr>
      <w:r>
        <w:rPr>
          <w:rFonts w:ascii="Arial" w:hAnsi="Arial"/>
          <w:sz w:val="24"/>
        </w:rPr>
        <w:t>Zona Internal: Amine adduct epoxy (anti-korosi dan food/water grade compliant) dengan total DFT 250 µm (2 lapis × 125 µm), warna putih.</w:t>
      </w:r>
    </w:p>
    <w:p>
      <w:pPr>
        <w:pStyle w:val="ListNumber"/>
      </w:pPr>
      <w:r>
        <w:rPr>
          <w:rFonts w:ascii="Arial" w:hAnsi="Arial"/>
          <w:sz w:val="24"/>
        </w:rPr>
        <w:t>Zona Eksternal: Inorganic zinc silicate 75 µm → high solid epoxy 150 µm → aliphatic polyurethane 50 µm, total DFT 275 µm, warna putih.</w:t>
      </w:r>
    </w:p>
    <w:p>
      <w:pPr>
        <w:pStyle w:val="ListNumber"/>
      </w:pPr>
      <w:r>
        <w:rPr>
          <w:rFonts w:ascii="Arial" w:hAnsi="Arial"/>
          <w:sz w:val="24"/>
        </w:rPr>
        <w:t>Zona Underside Bottom: Epoxy zinc rich 50 µm → coal tar epoxy 250 µm, total DFT 250 µm.</w:t>
      </w:r>
    </w:p>
    <w:p>
      <w:pPr>
        <w:pStyle w:val="Heading2"/>
      </w:pPr>
      <w:r>
        <w:rPr>
          <w:rFonts w:ascii="Arial" w:hAnsi="Arial"/>
          <w:color w:val="000000"/>
          <w:sz w:val="24"/>
        </w:rPr>
        <w:t>2.4 Sistem Grounding &amp; Earthing</w:t>
      </w:r>
    </w:p>
    <w:p>
      <w:pPr>
        <w:spacing w:line="360" w:lineRule="auto" w:after="120"/>
      </w:pPr>
      <w:r>
        <w:rPr>
          <w:rFonts w:ascii="Arial" w:hAnsi="Arial"/>
          <w:sz w:val="24"/>
        </w:rPr>
        <w:t>Sistem earthing/grounding harus dirancang dan dipasang sesuai ketentuan Dirjen Migas dengan hambatan tanah maksimum 4 Ohm. Material konduktor dan elektroda harus tahan korosi, terhubung secara kontinu ke seluruh struktur baja tangki, railing, tangga, dan platform. Hasil pengukuran resistansi tanah harus diverifikasi oleh pihak ketiga bersertifikat sebelum serah terima.</w:t>
      </w:r>
    </w:p>
    <w:p>
      <w:pPr>
        <w:pStyle w:val="Heading1"/>
      </w:pPr>
      <w:r>
        <w:rPr>
          <w:rFonts w:ascii="Arial" w:hAnsi="Arial"/>
          <w:color w:val="000000"/>
          <w:sz w:val="28"/>
        </w:rPr>
        <w:t>BAB III - METODE PELAKSANAAN PEKERJAAN</w:t>
      </w:r>
    </w:p>
    <w:p>
      <w:pPr>
        <w:pStyle w:val="Heading2"/>
      </w:pPr>
      <w:r>
        <w:rPr>
          <w:rFonts w:ascii="Arial" w:hAnsi="Arial"/>
          <w:color w:val="000000"/>
          <w:sz w:val="24"/>
        </w:rPr>
        <w:t>3.1 Persiapan &amp; Mobilisasi</w:t>
      </w:r>
    </w:p>
    <w:p>
      <w:pPr>
        <w:pStyle w:val="ListNumber"/>
      </w:pPr>
      <w:r>
        <w:rPr>
          <w:rFonts w:ascii="Arial" w:hAnsi="Arial"/>
          <w:sz w:val="24"/>
        </w:rPr>
        <w:t>Mobilisasi alat pemancang, crane, scaffolding, direksi kit kontainer, dan peralatan HSSE ke lokasi Fuel Terminal Siantar.</w:t>
      </w:r>
    </w:p>
    <w:p>
      <w:pPr>
        <w:pStyle w:val="ListNumber"/>
      </w:pPr>
      <w:r>
        <w:rPr>
          <w:rFonts w:ascii="Arial" w:hAnsi="Arial"/>
          <w:sz w:val="24"/>
        </w:rPr>
        <w:t>Survei engineering lapangan, pembuatan shop drawing, dan pengajuan material approval kepada Pengawas Perusahaan.</w:t>
      </w:r>
    </w:p>
    <w:p>
      <w:pPr>
        <w:pStyle w:val="ListNumber"/>
      </w:pPr>
      <w:r>
        <w:rPr>
          <w:rFonts w:ascii="Arial" w:hAnsi="Arial"/>
          <w:sz w:val="24"/>
        </w:rPr>
        <w:t>Pemasangan pembatas area kerja, signage keselamatan, dan sistem drainase sementara untuk mencegah erosi atau genangan.</w:t>
      </w:r>
    </w:p>
    <w:p>
      <w:pPr>
        <w:pStyle w:val="Heading2"/>
      </w:pPr>
      <w:r>
        <w:rPr>
          <w:rFonts w:ascii="Arial" w:hAnsi="Arial"/>
          <w:color w:val="000000"/>
          <w:sz w:val="24"/>
        </w:rPr>
        <w:t>3.2 Pekerjaan Pondasi &amp; Beton</w:t>
      </w:r>
    </w:p>
    <w:p>
      <w:pPr>
        <w:pStyle w:val="ListNumber"/>
      </w:pPr>
      <w:r>
        <w:rPr>
          <w:rFonts w:ascii="Arial" w:hAnsi="Arial"/>
          <w:sz w:val="24"/>
        </w:rPr>
        <w:t>Pemancangan spun pile Ø400 mm hingga kedalaman desain, diikuti pemotongan kepala tiang dan penyambungan sesuai detail gambar.</w:t>
      </w:r>
    </w:p>
    <w:p>
      <w:pPr>
        <w:pStyle w:val="ListNumber"/>
      </w:pPr>
      <w:r>
        <w:rPr>
          <w:rFonts w:ascii="Arial" w:hAnsi="Arial"/>
          <w:sz w:val="24"/>
        </w:rPr>
        <w:t>Galian pondasi ±167,88 m³, urugan pasir padatan, dan pengecoran lantai kerja serta pile cap ±24,05 m³ menggunakan ready mix K250.</w:t>
      </w:r>
    </w:p>
    <w:p>
      <w:pPr>
        <w:pStyle w:val="ListNumber"/>
      </w:pPr>
      <w:r>
        <w:rPr>
          <w:rFonts w:ascii="Arial" w:hAnsi="Arial"/>
          <w:sz w:val="24"/>
        </w:rPr>
        <w:t>Pembesian beton struktur harus disesuaikan dengan gambar rencana. Bekisting berulang ±168,47 m² dipasang dengan presisi tinggi.</w:t>
      </w:r>
    </w:p>
    <w:p>
      <w:pPr>
        <w:pStyle w:val="ListNumber"/>
      </w:pPr>
      <w:r>
        <w:rPr>
          <w:rFonts w:ascii="Arial" w:hAnsi="Arial"/>
          <w:sz w:val="24"/>
        </w:rPr>
        <w:t>Pengecoran beton hanya dapat dilaksanakan atas persetujuan direksi setelah verifikasi bekisting, pembesian, dan curing plan selesai.</w:t>
      </w:r>
    </w:p>
    <w:p>
      <w:pPr>
        <w:pStyle w:val="Heading2"/>
      </w:pPr>
      <w:r>
        <w:rPr>
          <w:rFonts w:ascii="Arial" w:hAnsi="Arial"/>
          <w:color w:val="000000"/>
          <w:sz w:val="24"/>
        </w:rPr>
        <w:t>3.3 Fabrikasi &amp; Erection Tangki</w:t>
      </w:r>
    </w:p>
    <w:p>
      <w:pPr>
        <w:pStyle w:val="ListNumber"/>
      </w:pPr>
      <w:r>
        <w:rPr>
          <w:rFonts w:ascii="Arial" w:hAnsi="Arial"/>
          <w:sz w:val="24"/>
        </w:rPr>
        <w:t>Pengerollan, pemotongan, penyetelan, dan pengelasan plat shell/bottom/roof dengan toleransi kelurusan maksimum ±3 mm per 10 meter tinggi.</w:t>
      </w:r>
    </w:p>
    <w:p>
      <w:pPr>
        <w:pStyle w:val="ListNumber"/>
      </w:pPr>
      <w:r>
        <w:rPr>
          <w:rFonts w:ascii="Arial" w:hAnsi="Arial"/>
          <w:sz w:val="24"/>
        </w:rPr>
        <w:t>Fabrikasi dan pemasangan rangka atap (roof framing), handrail, stairway, walkway/platform inlet-outlet, splash plate, dan komponen aksesori lainnya.</w:t>
      </w:r>
    </w:p>
    <w:p>
      <w:pPr>
        <w:pStyle w:val="ListNumber"/>
      </w:pPr>
      <w:r>
        <w:rPr>
          <w:rFonts w:ascii="Arial" w:hAnsi="Arial"/>
          <w:sz w:val="24"/>
        </w:rPr>
        <w:t>Seluruh pengelasan mengikuti WPS/PQR yang telah disetujui dan dikerjakan oleh welder bersertifikat sesuai standar industri migas.</w:t>
      </w:r>
    </w:p>
    <w:p>
      <w:pPr>
        <w:pStyle w:val="Heading2"/>
      </w:pPr>
      <w:r>
        <w:rPr>
          <w:rFonts w:ascii="Arial" w:hAnsi="Arial"/>
          <w:color w:val="000000"/>
          <w:sz w:val="24"/>
        </w:rPr>
        <w:t>3.4 Aplikasi Coating &amp; Quality Control</w:t>
      </w:r>
    </w:p>
    <w:p>
      <w:pPr>
        <w:pStyle w:val="ListNumber"/>
      </w:pPr>
      <w:r>
        <w:rPr>
          <w:rFonts w:ascii="Arial" w:hAnsi="Arial"/>
          <w:sz w:val="24"/>
        </w:rPr>
        <w:t>Blastering permukaan baja hingga standar Sa 2.5, dilanjutkan inspeksi visual dan pengukuran ketebalan lapisan primer.</w:t>
      </w:r>
    </w:p>
    <w:p>
      <w:pPr>
        <w:pStyle w:val="ListNumber"/>
      </w:pPr>
      <w:r>
        <w:rPr>
          <w:rFonts w:ascii="Arial" w:hAnsi="Arial"/>
          <w:sz w:val="24"/>
        </w:rPr>
        <w:t>Aplikasi cat pelapis internal, eksternal, dan underside bottom plate menggunakan metode airless spray sesuai spesifikasi ketebalan DFT.</w:t>
      </w:r>
    </w:p>
    <w:p>
      <w:pPr>
        <w:pStyle w:val="ListNumber"/>
      </w:pPr>
      <w:r>
        <w:rPr>
          <w:rFonts w:ascii="Arial" w:hAnsi="Arial"/>
          <w:sz w:val="24"/>
        </w:rPr>
        <w:t>Pengujian wet film thickness (WFT) saat aplikasi dan dry film thickness (DFT) setelah curing, dilengkapi laporan kalibrasi alat ukur.</w:t>
      </w:r>
    </w:p>
    <w:p>
      <w:pPr>
        <w:pStyle w:val="Heading2"/>
      </w:pPr>
      <w:r>
        <w:rPr>
          <w:rFonts w:ascii="Arial" w:hAnsi="Arial"/>
          <w:color w:val="000000"/>
          <w:sz w:val="24"/>
        </w:rPr>
        <w:t>3.5 Instalasi Fitting &amp; Perpipaan</w:t>
      </w:r>
    </w:p>
    <w:p>
      <w:pPr>
        <w:pStyle w:val="ListNumber"/>
      </w:pPr>
      <w:r>
        <w:rPr>
          <w:rFonts w:ascii="Arial" w:hAnsi="Arial"/>
          <w:sz w:val="24"/>
        </w:rPr>
        <w:t>Pemasangan 2 unit manhole atap, 2 unit manhole shell, berbagai nozzle (breather, inlet/outlet, emergency vent, drain), serta rangkaian valve dan flange sesuai daftar kuantitas.</w:t>
      </w:r>
    </w:p>
    <w:p>
      <w:pPr>
        <w:pStyle w:val="ListNumber"/>
      </w:pPr>
      <w:r>
        <w:rPr>
          <w:rFonts w:ascii="Arial" w:hAnsi="Arial"/>
          <w:sz w:val="24"/>
        </w:rPr>
        <w:t>Instalasi pipa ventilasi/drainase dan koneksi sensor tekanan (ATG) sesuai standar ANSI/ASME/API.</w:t>
      </w:r>
    </w:p>
    <w:p>
      <w:pPr>
        <w:pStyle w:val="ListNumber"/>
      </w:pPr>
      <w:r>
        <w:rPr>
          <w:rFonts w:ascii="Arial" w:hAnsi="Arial"/>
          <w:sz w:val="24"/>
        </w:rPr>
        <w:t>Pressure test dan leak test pada sistem perpipaan sebelum isolasi akhir dan pengisian air komisioning.</w:t>
      </w:r>
    </w:p>
    <w:p>
      <w:pPr>
        <w:pStyle w:val="Heading1"/>
      </w:pPr>
      <w:r>
        <w:rPr>
          <w:rFonts w:ascii="Arial" w:hAnsi="Arial"/>
          <w:color w:val="000000"/>
          <w:sz w:val="28"/>
        </w:rPr>
        <w:t>BAB IV - PENGELOLAAN HSSE DAN DOKUMENTASI</w:t>
      </w:r>
    </w:p>
    <w:p>
      <w:pPr>
        <w:pStyle w:val="Heading2"/>
      </w:pPr>
      <w:r>
        <w:rPr>
          <w:rFonts w:ascii="Arial" w:hAnsi="Arial"/>
          <w:color w:val="000000"/>
          <w:sz w:val="24"/>
        </w:rPr>
        <w:t>4.1 Kewajiban Keselamatan Kerja (HSSE)</w:t>
      </w:r>
    </w:p>
    <w:p>
      <w:pPr>
        <w:pStyle w:val="ListBullet"/>
      </w:pPr>
      <w:r>
        <w:rPr>
          <w:rFonts w:ascii="Arial" w:hAnsi="Arial"/>
          <w:sz w:val="24"/>
        </w:rPr>
        <w:t>Kontraktor wajib menyediakan safety man, peralatan APD lengkap (helm, sepatu safety, harness, kacamata las/blasting), safety line, fire blanket, dan genset cadangan.</w:t>
      </w:r>
    </w:p>
    <w:p>
      <w:pPr>
        <w:pStyle w:val="ListBullet"/>
      </w:pPr>
      <w:r>
        <w:rPr>
          <w:rFonts w:ascii="Arial" w:hAnsi="Arial"/>
          <w:sz w:val="24"/>
        </w:rPr>
        <w:t>Pelaksanaan pekerjaan ketinggian, pengelasan, dan lifting wajib menggunakan Work Permit System dan JSA (Job Safety Analysis) yang disahkan.</w:t>
      </w:r>
    </w:p>
    <w:p>
      <w:pPr>
        <w:pStyle w:val="ListBullet"/>
      </w:pPr>
      <w:r>
        <w:rPr>
          <w:rFonts w:ascii="Arial" w:hAnsi="Arial"/>
          <w:sz w:val="24"/>
        </w:rPr>
        <w:t>Selama pelaksanaan pekerjaan, KONTRAKTOR harus selalu koordinasi dengan Pengawas PERUSAHAAN yang bersangkutan terkait perubahan kondisi site atau risiko mendadak.</w:t>
      </w:r>
    </w:p>
    <w:p>
      <w:pPr>
        <w:pStyle w:val="Heading2"/>
      </w:pPr>
      <w:r>
        <w:rPr>
          <w:rFonts w:ascii="Arial" w:hAnsi="Arial"/>
          <w:color w:val="000000"/>
          <w:sz w:val="24"/>
        </w:rPr>
        <w:t>4.2 Kebersihan Area Kerja &amp; Pengelolaan Limbah</w:t>
      </w:r>
    </w:p>
    <w:p>
      <w:pPr>
        <w:pStyle w:val="ListBullet"/>
      </w:pPr>
      <w:r>
        <w:rPr>
          <w:rFonts w:ascii="Arial" w:hAnsi="Arial"/>
          <w:sz w:val="24"/>
        </w:rPr>
        <w:t>Memastikan semua area kerja bersih dari sisa material dan pekerjaan (contoh: besi, kayu, pasir sand blast, kemasan material, kertas, dan lain-lain).</w:t>
      </w:r>
    </w:p>
    <w:p>
      <w:pPr>
        <w:pStyle w:val="ListBullet"/>
      </w:pPr>
      <w:r>
        <w:rPr>
          <w:rFonts w:ascii="Arial" w:hAnsi="Arial"/>
          <w:sz w:val="24"/>
        </w:rPr>
        <w:t>Melakukan intervensi jika menemukan personil yang membuang sampah sembarangan serta meninggalkan sisa material dan pekerjaan di area kerja.</w:t>
      </w:r>
    </w:p>
    <w:p>
      <w:pPr>
        <w:pStyle w:val="ListBullet"/>
      </w:pPr>
      <w:r>
        <w:rPr>
          <w:rFonts w:ascii="Arial" w:hAnsi="Arial"/>
          <w:sz w:val="24"/>
        </w:rPr>
        <w:t>Pembuangan limbah B3 (kaleng cat, kain lap tercemar, residu blasting) harus dikelola sesuai regulasi lingkungan dan diserahkan ke pihak pengelola limbah tersertifikasi.</w:t>
      </w:r>
    </w:p>
    <w:p>
      <w:pPr>
        <w:pStyle w:val="Heading2"/>
      </w:pPr>
      <w:r>
        <w:rPr>
          <w:rFonts w:ascii="Arial" w:hAnsi="Arial"/>
          <w:color w:val="000000"/>
          <w:sz w:val="24"/>
        </w:rPr>
        <w:t>4.3 Dokumentasi Teknis &amp; Administrasi</w:t>
      </w:r>
    </w:p>
    <w:p>
      <w:pPr>
        <w:pStyle w:val="ListNumber"/>
      </w:pPr>
      <w:r>
        <w:rPr>
          <w:rFonts w:ascii="Arial" w:hAnsi="Arial"/>
          <w:sz w:val="24"/>
        </w:rPr>
        <w:t>Penyusunan dan pengajuan shop drawing, as-built drawing, material approval, dan laporan progres bulanan secara berkala.</w:t>
      </w:r>
    </w:p>
    <w:p>
      <w:pPr>
        <w:pStyle w:val="ListNumber"/>
      </w:pPr>
      <w:r>
        <w:rPr>
          <w:rFonts w:ascii="Arial" w:hAnsi="Arial"/>
          <w:sz w:val="24"/>
        </w:rPr>
        <w:t>Pencatatan harian (daily report) meliputi jumlah tenaga kerja, peralatan beroperasi, cuaca, kejadian HSSE, dan kemajuan fisik (%).</w:t>
      </w:r>
    </w:p>
    <w:p>
      <w:pPr>
        <w:pStyle w:val="ListNumber"/>
      </w:pPr>
      <w:r>
        <w:rPr>
          <w:rFonts w:ascii="Arial" w:hAnsi="Arial"/>
          <w:sz w:val="24"/>
        </w:rPr>
        <w:t>Arsip digital dan hardcopy dokumen teknis harus diserahkan minimal 14 hari sebelum jadwal serah terima provisional.</w:t>
      </w:r>
    </w:p>
    <w:p>
      <w:pPr>
        <w:pStyle w:val="Heading1"/>
      </w:pPr>
      <w:r>
        <w:rPr>
          <w:rFonts w:ascii="Arial" w:hAnsi="Arial"/>
          <w:color w:val="000000"/>
          <w:sz w:val="28"/>
        </w:rPr>
        <w:t>BAB V - PENGAWASAN, INSPEKSI, DAN SERAH TERIMA</w:t>
      </w:r>
    </w:p>
    <w:p>
      <w:pPr>
        <w:pStyle w:val="Heading2"/>
      </w:pPr>
      <w:r>
        <w:rPr>
          <w:rFonts w:ascii="Arial" w:hAnsi="Arial"/>
          <w:color w:val="000000"/>
          <w:sz w:val="24"/>
        </w:rPr>
        <w:t>5.1 Koordinasi &amp; Pengawasan Lapangan</w:t>
      </w:r>
    </w:p>
    <w:p>
      <w:pPr>
        <w:spacing w:line="360" w:lineRule="auto" w:after="120"/>
      </w:pPr>
      <w:r>
        <w:rPr>
          <w:rFonts w:ascii="Arial" w:hAnsi="Arial"/>
          <w:sz w:val="24"/>
        </w:rPr>
        <w:t>Seluruh tahapan pekerjaan berada di bawah pengawasan langsung Pengawas Perusahaan PT Pertamina (Persero). Kontraktor wajib menghadiri rapat koordinasi mingguan, menyampaikan notulensi perbaikan, dan menindaklanjuti temuan inspeksi dalam waktu maksimal 3x24 jam. Penyedia kontrak jasa harus melaksanakan dan menyelesaikan pekerjaan yang tertera dalam RKS serta Berita Acara Penjelasan Pekerjaan sehingga kualitas pekerjaan dapat dipertanggungjawabkan dan memuaskan Pemberi Pekerjaan.</w:t>
      </w:r>
    </w:p>
    <w:p>
      <w:pPr>
        <w:pStyle w:val="Heading2"/>
      </w:pPr>
      <w:r>
        <w:rPr>
          <w:rFonts w:ascii="Arial" w:hAnsi="Arial"/>
          <w:color w:val="000000"/>
          <w:sz w:val="24"/>
        </w:rPr>
        <w:t>5.2 Penyediaan Contah (Sample) Pekerjaan</w:t>
      </w:r>
    </w:p>
    <w:p>
      <w:pPr>
        <w:spacing w:line="360" w:lineRule="auto" w:after="120"/>
      </w:pPr>
      <w:r>
        <w:rPr>
          <w:rFonts w:ascii="Arial" w:hAnsi="Arial"/>
          <w:sz w:val="24"/>
        </w:rPr>
        <w:t>Sebelum pelaksanaan massal, kontraktor wajib menyediakan contah bahan atau mock-up pekerjaan untuk mendapatkan persetujuan tertulis dari Pengawas. Contah tersebut harus memperlihatkan secara jelas: Konstruksi sambungan dan detail, serta Tampilan bidang permukaan. Contoh-contoh ini akan menjadi acuan baku (baseline quality) untuk evaluasi penerimaan pekerjaan selanjutnya.</w:t>
      </w:r>
    </w:p>
    <w:p>
      <w:pPr>
        <w:pStyle w:val="Heading2"/>
      </w:pPr>
      <w:r>
        <w:rPr>
          <w:rFonts w:ascii="Arial" w:hAnsi="Arial"/>
          <w:color w:val="000000"/>
          <w:sz w:val="24"/>
        </w:rPr>
        <w:t>5.3 Pengujian Material &amp; Inspeksi Las</w:t>
      </w:r>
    </w:p>
    <w:p>
      <w:pPr>
        <w:pStyle w:val="ListNumber"/>
      </w:pPr>
      <w:r>
        <w:rPr>
          <w:rFonts w:ascii="Arial" w:hAnsi="Arial"/>
          <w:sz w:val="24"/>
        </w:rPr>
        <w:t>Verifikasi material wajib dilengkapi MTC/Mill Test Certificate dari pabrik produsen yang diakui dan traceable ke batch pengiriman.</w:t>
      </w:r>
    </w:p>
    <w:p>
      <w:pPr>
        <w:pStyle w:val="ListNumber"/>
      </w:pPr>
      <w:r>
        <w:rPr>
          <w:rFonts w:ascii="Arial" w:hAnsi="Arial"/>
          <w:sz w:val="24"/>
        </w:rPr>
        <w:t>Inspeksi NDT pengelasan (MT/PT atau UT/Radiografi sesuai rasio yang ditentukan) harus dilakukan oleh lembaga inspeksi independen bersertifikat.</w:t>
      </w:r>
    </w:p>
    <w:p>
      <w:pPr>
        <w:pStyle w:val="ListNumber"/>
      </w:pPr>
      <w:r>
        <w:rPr>
          <w:rFonts w:ascii="Arial" w:hAnsi="Arial"/>
          <w:sz w:val="24"/>
        </w:rPr>
        <w:t>Prosedur pengujian coating (wet/dry film thickness measurement, adhesion test cross-cut/hastings) harus dicatat dalam laporan QC terpisah sebagai syarat serah terima.</w:t>
      </w:r>
    </w:p>
    <w:p>
      <w:pPr>
        <w:pStyle w:val="Heading2"/>
      </w:pPr>
      <w:r>
        <w:rPr>
          <w:rFonts w:ascii="Arial" w:hAnsi="Arial"/>
          <w:color w:val="000000"/>
          <w:sz w:val="24"/>
        </w:rPr>
        <w:t>5.4 Prosedur Serah Terima &amp; Penerimaan</w:t>
      </w:r>
    </w:p>
    <w:p>
      <w:pPr>
        <w:spacing w:line="360" w:lineRule="auto" w:after="120"/>
      </w:pPr>
      <w:r>
        <w:rPr>
          <w:rFonts w:ascii="Arial" w:hAnsi="Arial"/>
          <w:sz w:val="24"/>
        </w:rPr>
        <w:t>Serah terima pekerjaan dilakukan melalui tahap Provisional Handover setelah seluruh punch list tertutup dan pengujian fungsional (water filling test, pressure test, grounding resistance test) lulus. Berita Acara Serah Terima (BAST) ditandatangani oleh kedua belah pihak setelah verifikasi akhir dokumen as-built, sertifikat garansi material, dan manual book operasi/pemeliharaan tangki diserahkan lengkap. Garansi pekerjaan berlaku selama 12 (dua belas) bulan sejak tanggal BAST.</w:t>
      </w:r>
    </w:p>
    <w:sectPr w:rsidR="00FC693F" w:rsidRPr="0006063C" w:rsidSect="00034616">
      <w:headerReference w:type="default" r:id="rId10"/>
      <w:footerReference w:type="default" r:id="rId11"/>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000000"/>
      </w:pBdr>
    </w:pPr>
    <w:r>
      <w:rPr>
        <w:rFonts w:ascii="Arial" w:hAnsi="Arial"/>
        <w:sz w:val="16"/>
      </w:rPr>
      <w:t xml:space="preserve">No. Dok: RKS-[214885]-[2026]  |  </w:t>
    </w:r>
    <w:r>
      <w:rPr>
        <w:rFonts w:ascii="Arial" w:hAnsi="Arial"/>
        <w:sz w:val="16"/>
      </w:rPr>
      <w:t xml:space="preserve">Hal.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pPr>
    <w:r>
      <w:drawing>
        <wp:inline xmlns:a="http://schemas.openxmlformats.org/drawingml/2006/main" xmlns:pic="http://schemas.openxmlformats.org/drawingml/2006/picture">
          <wp:extent cx="1851429" cy="432000"/>
          <wp:docPr id="1" name="Picture 1"/>
          <wp:cNvGraphicFramePr>
            <a:graphicFrameLocks noChangeAspect="1"/>
          </wp:cNvGraphicFramePr>
          <a:graphic>
            <a:graphicData uri="http://schemas.openxmlformats.org/drawingml/2006/picture">
              <pic:pic>
                <pic:nvPicPr>
                  <pic:cNvPr id="0" name="logo_pertamina.png"/>
                  <pic:cNvPicPr/>
                </pic:nvPicPr>
                <pic:blipFill>
                  <a:blip r:embed="rId1"/>
                  <a:stretch>
                    <a:fillRect/>
                  </a:stretch>
                </pic:blipFill>
                <pic:spPr>
                  <a:xfrm>
                    <a:off x="0" y="0"/>
                    <a:ext cx="1851429" cy="432000"/>
                  </a:xfrm>
                  <a:prstGeom prst="rect"/>
                </pic:spPr>
              </pic:pic>
            </a:graphicData>
          </a:graphic>
        </wp:inline>
      </w:drawing>
    </w:r>
    <w:r>
      <w:t xml:space="preserve">  </w:t>
    </w:r>
    <w:r>
      <w:rPr>
        <w:rFonts w:ascii="Arial" w:hAnsi="Arial"/>
        <w:b/>
        <w:sz w:val="18"/>
      </w:rPr>
      <w:t>PT PERTAMINA (PERSERO)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