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tbl>
      <w:tblPr>
        <w:tblW w:type="auto" w:w="0"/>
        <w:jc w:val="center"/>
        <w:tblLook w:firstColumn="1" w:firstRow="1" w:lastColumn="0" w:lastRow="0" w:noHBand="0" w:noVBand="1" w:val="04A0"/>
      </w:tblPr>
      <w:tblGrid>
        <w:gridCol w:w="9122"/>
      </w:tblGrid>
      <w:tr>
        <w:tc>
          <w:tcPr>
            <w:tcW w:type="dxa" w:w="9122"/>
            <w:tcBorders>
              <w:top w:val="single" w:sz="8" w:space="0" w:color="000000"/>
              <w:bottom w:val="single" w:sz="8" w:space="0" w:color="000000"/>
              <w:left w:val="single" w:sz="8" w:space="0" w:color="000000"/>
              <w:right w:val="single" w:sz="8" w:space="0" w:color="000000"/>
            </w:tcBorders>
          </w:tcPr>
          <w:p>
            <w:pPr>
              <w:jc w:val="center"/>
            </w:pPr>
            <w:r>
              <w:rPr>
                <w:rFonts w:ascii="Arial" w:hAnsi="Arial"/>
                <w:b/>
                <w:sz w:val="32"/>
              </w:rPr>
              <w:t>RENCANA KERJA DAN SYARAT-SYARAT</w:t>
              <w:br/>
              <w:t>(RKS)</w:t>
            </w:r>
          </w:p>
        </w:tc>
      </w:tr>
    </w:tbl>
    <w:p/>
    <w:tbl>
      <w:tblPr>
        <w:tblW w:type="auto" w:w="0"/>
        <w:jc w:val="center"/>
        <w:tblLook w:firstColumn="1" w:firstRow="1" w:lastColumn="0" w:lastRow="0" w:noHBand="0" w:noVBand="1" w:val="04A0"/>
      </w:tblPr>
      <w:tblGrid>
        <w:gridCol w:w="9122"/>
      </w:tblGrid>
      <w:tr>
        <w:tc>
          <w:tcPr>
            <w:tcW w:type="dxa" w:w="9122"/>
            <w:tcBorders>
              <w:top w:val="single" w:sz="8" w:space="0" w:color="000000"/>
              <w:bottom w:val="single" w:sz="8" w:space="0" w:color="000000"/>
              <w:left w:val="single" w:sz="8" w:space="0" w:color="000000"/>
              <w:right w:val="single" w:sz="8" w:space="0" w:color="000000"/>
            </w:tcBorders>
          </w:tcPr>
          <w:p>
            <w:pPr>
              <w:jc w:val="center"/>
            </w:pPr>
            <w:r>
              <w:rPr>
                <w:rFonts w:ascii="Arial" w:hAnsi="Arial"/>
                <w:b/>
                <w:sz w:val="24"/>
              </w:rPr>
              <w:t>Pembangunan tangki air - Pembangunan tangki air kapasitas 1000Kl</w:t>
            </w:r>
          </w:p>
        </w:tc>
      </w:tr>
    </w:tbl>
    <w:p/>
    <w:p>
      <w:pPr>
        <w:spacing w:before="240" w:after="240"/>
        <w:jc w:val="center"/>
      </w:pPr>
      <w:r>
        <w:rPr>
          <w:rFonts w:ascii="Arial" w:hAnsi="Arial"/>
          <w:b/>
          <w:sz w:val="24"/>
        </w:rPr>
        <w:t>Bidder List No: ______________________________</w:t>
      </w:r>
    </w:p>
    <w:p>
      <w:pPr>
        <w:spacing w:before="240" w:after="120"/>
        <w:jc w:val="center"/>
      </w:pPr>
      <w:r>
        <w:rPr>
          <w:rFonts w:ascii="Arial" w:hAnsi="Arial"/>
          <w:b/>
          <w:sz w:val="24"/>
        </w:rPr>
        <w:t>RESIKO PEKERJAAN (ASPEK CSMS):</w:t>
      </w:r>
    </w:p>
    <w:p>
      <w:pPr>
        <w:spacing w:before="0" w:after="360"/>
        <w:jc w:val="center"/>
      </w:pPr>
      <w:r>
        <w:rPr>
          <w:rFonts w:ascii="Arial" w:hAnsi="Arial"/>
          <w:b/>
          <w:sz w:val="24"/>
        </w:rPr>
        <w:t>☐ HIGH     ☐ MIDDLE     ☐ LOW</w:t>
      </w:r>
    </w:p>
    <w:p>
      <w:pPr>
        <w:jc w:val="center"/>
      </w:pPr>
      <w:r>
        <w:drawing>
          <wp:inline xmlns:a="http://schemas.openxmlformats.org/drawingml/2006/main" xmlns:pic="http://schemas.openxmlformats.org/drawingml/2006/picture">
            <wp:extent cx="1800000" cy="420000"/>
            <wp:docPr id="1" name="Picture 1"/>
            <wp:cNvGraphicFramePr>
              <a:graphicFrameLocks noChangeAspect="1"/>
            </wp:cNvGraphicFramePr>
            <a:graphic>
              <a:graphicData uri="http://schemas.openxmlformats.org/drawingml/2006/picture">
                <pic:pic>
                  <pic:nvPicPr>
                    <pic:cNvPr id="0" name="logo_pertamina.png"/>
                    <pic:cNvPicPr/>
                  </pic:nvPicPr>
                  <pic:blipFill>
                    <a:blip r:embed="rId9"/>
                    <a:stretch>
                      <a:fillRect/>
                    </a:stretch>
                  </pic:blipFill>
                  <pic:spPr>
                    <a:xfrm>
                      <a:off x="0" y="0"/>
                      <a:ext cx="1800000" cy="420000"/>
                    </a:xfrm>
                    <a:prstGeom prst="rect"/>
                  </pic:spPr>
                </pic:pic>
              </a:graphicData>
            </a:graphic>
          </wp:inline>
        </w:drawing>
      </w:r>
    </w:p>
    <w:p>
      <w:pPr>
        <w:spacing w:before="240" w:after="240"/>
      </w:pPr>
    </w:p>
    <w:p>
      <w:pPr>
        <w:spacing w:before="240" w:after="240"/>
      </w:pPr>
    </w:p>
    <w:p>
      <w:pPr>
        <w:spacing w:before="240" w:after="240"/>
      </w:pPr>
    </w:p>
    <w:p>
      <w:pPr>
        <w:spacing w:before="240" w:after="240"/>
      </w:pPr>
    </w:p>
    <w:p>
      <w:pPr>
        <w:spacing w:before="0" w:after="0"/>
        <w:jc w:val="center"/>
      </w:pPr>
      <w:r>
        <w:rPr>
          <w:rFonts w:ascii="Arial" w:hAnsi="Arial"/>
          <w:b/>
          <w:sz w:val="24"/>
        </w:rPr>
        <w:t>PT Kungfu Panda</w:t>
      </w:r>
    </w:p>
    <w:p>
      <w:pPr>
        <w:sectPr>
          <w:pgSz w:w="12240" w:h="15840"/>
          <w:pgMar w:top="1701" w:right="1417" w:bottom="1417" w:left="1701" w:header="720" w:footer="720" w:gutter="0"/>
          <w:cols w:space="720"/>
          <w:docGrid w:linePitch="360"/>
          <w:pgBorders w:offsetFrom="page">
            <w:top w:val="single" w:sz="12" w:space="24" w:color="000000"/>
            <w:left w:val="single" w:sz="12" w:space="24" w:color="000000"/>
            <w:bottom w:val="single" w:sz="12" w:space="24" w:color="000000"/>
            <w:right w:val="single" w:sz="12" w:space="24" w:color="000000"/>
          </w:pgBorders>
        </w:sectPr>
      </w:pPr>
    </w:p>
    <w:p>
      <w:pPr>
        <w:spacing w:before="480" w:after="480"/>
        <w:jc w:val="center"/>
      </w:pPr>
      <w:r>
        <w:rPr>
          <w:rFonts w:ascii="Arial" w:hAnsi="Arial"/>
          <w:b/>
          <w:sz w:val="28"/>
        </w:rPr>
        <w:t>LEMBAR PENGESAHAN</w:t>
      </w:r>
    </w:p>
    <w:tbl>
      <w:tblPr>
        <w:tblW w:type="auto" w:w="0"/>
        <w:jc w:val="center"/>
        <w:tblLook w:firstColumn="1" w:firstRow="1" w:lastColumn="0" w:lastRow="0" w:noHBand="0" w:noVBand="1" w:val="04A0"/>
      </w:tblPr>
      <w:tblGrid>
        <w:gridCol w:w="3041"/>
        <w:gridCol w:w="3041"/>
        <w:gridCol w:w="3041"/>
      </w:tblGrid>
      <w:tr>
        <w:tc>
          <w:tcPr>
            <w:tcW w:type="dxa" w:w="3041"/>
            <w:shd w:fill="D9E2F3" w:val="clear"/>
            <w:tcBorders>
              <w:top w:val="single" w:sz="4" w:space="0" w:color="000000"/>
              <w:bottom w:val="single" w:sz="4" w:space="0" w:color="000000"/>
              <w:left w:val="single" w:sz="4" w:space="0" w:color="000000"/>
              <w:right w:val="single" w:sz="4" w:space="0" w:color="000000"/>
            </w:tcBorders>
          </w:tcPr>
          <w:p>
            <w:pPr>
              <w:jc w:val="center"/>
            </w:pPr>
            <w:r>
              <w:rPr>
                <w:rFonts w:ascii="Arial" w:hAnsi="Arial"/>
                <w:b/>
                <w:sz w:val="22"/>
              </w:rPr>
            </w:r>
          </w:p>
        </w:tc>
        <w:tc>
          <w:tcPr>
            <w:tcW w:type="dxa" w:w="3041"/>
            <w:shd w:fill="D9E2F3" w:val="clear"/>
            <w:tcBorders>
              <w:top w:val="single" w:sz="4" w:space="0" w:color="000000"/>
              <w:bottom w:val="single" w:sz="4" w:space="0" w:color="000000"/>
              <w:left w:val="single" w:sz="4" w:space="0" w:color="000000"/>
              <w:right w:val="single" w:sz="4" w:space="0" w:color="000000"/>
            </w:tcBorders>
          </w:tcPr>
          <w:p>
            <w:pPr>
              <w:jc w:val="center"/>
            </w:pPr>
            <w:r>
              <w:rPr>
                <w:rFonts w:ascii="Arial" w:hAnsi="Arial"/>
                <w:b/>
                <w:sz w:val="22"/>
              </w:rPr>
              <w:t>Nama / Jabatan</w:t>
            </w:r>
          </w:p>
        </w:tc>
        <w:tc>
          <w:tcPr>
            <w:tcW w:type="dxa" w:w="3041"/>
            <w:shd w:fill="D9E2F3" w:val="clear"/>
            <w:tcBorders>
              <w:top w:val="single" w:sz="4" w:space="0" w:color="000000"/>
              <w:bottom w:val="single" w:sz="4" w:space="0" w:color="000000"/>
              <w:left w:val="single" w:sz="4" w:space="0" w:color="000000"/>
              <w:right w:val="single" w:sz="4" w:space="0" w:color="000000"/>
            </w:tcBorders>
          </w:tcPr>
          <w:p>
            <w:pPr>
              <w:jc w:val="center"/>
            </w:pPr>
            <w:r>
              <w:rPr>
                <w:rFonts w:ascii="Arial" w:hAnsi="Arial"/>
                <w:b/>
                <w:sz w:val="22"/>
              </w:rPr>
              <w:t>Tanda Tangan</w:t>
            </w:r>
          </w:p>
        </w:tc>
      </w:tr>
      <w:tr>
        <w:tc>
          <w:tcPr>
            <w:tcW w:type="dxa" w:w="3041"/>
            <w:tcBorders>
              <w:top w:val="single" w:sz="4" w:space="0" w:color="000000"/>
              <w:bottom w:val="single" w:sz="4" w:space="0" w:color="000000"/>
              <w:left w:val="single" w:sz="4" w:space="0" w:color="000000"/>
              <w:right w:val="single" w:sz="4" w:space="0" w:color="000000"/>
            </w:tcBorders>
          </w:tcPr>
          <w:p>
            <w:pPr>
              <w:jc w:val="center"/>
            </w:pPr>
            <w:r>
              <w:rPr>
                <w:rFonts w:ascii="Arial" w:hAnsi="Arial"/>
                <w:b/>
                <w:sz w:val="22"/>
              </w:rPr>
              <w:t>Disusun oleh</w:t>
            </w:r>
          </w:p>
        </w:tc>
        <w:tc>
          <w:tcPr>
            <w:tcW w:type="dxa" w:w="3041"/>
            <w:tcBorders>
              <w:top w:val="single" w:sz="4" w:space="0" w:color="000000"/>
              <w:bottom w:val="single" w:sz="4" w:space="0" w:color="000000"/>
              <w:left w:val="single" w:sz="4" w:space="0" w:color="000000"/>
              <w:right w:val="single" w:sz="4" w:space="0" w:color="000000"/>
            </w:tcBorders>
          </w:tcPr>
          <w:p>
            <w:pPr>
              <w:jc w:val="center"/>
            </w:pPr>
            <w:r>
              <w:rPr>
                <w:rFonts w:ascii="Arial" w:hAnsi="Arial"/>
                <w:sz w:val="20"/>
              </w:rPr>
              <w:br/>
              <w:br/>
              <w:br/>
              <w:t>Ahmad Fauzi</w:t>
              <w:br/>
              <w:t>Project Manager</w:t>
            </w:r>
          </w:p>
        </w:tc>
        <w:tc>
          <w:tcPr>
            <w:tcW w:type="dxa" w:w="3041"/>
            <w:tcBorders>
              <w:top w:val="single" w:sz="4" w:space="0" w:color="000000"/>
              <w:bottom w:val="single" w:sz="4" w:space="0" w:color="000000"/>
              <w:left w:val="single" w:sz="4" w:space="0" w:color="000000"/>
              <w:right w:val="single" w:sz="4" w:space="0" w:color="000000"/>
            </w:tcBorders>
          </w:tcPr>
          <w:p>
            <w:pPr>
              <w:jc w:val="center"/>
            </w:pPr>
            <w:r>
              <w:rPr>
                <w:rFonts w:ascii="Arial" w:hAnsi="Arial"/>
                <w:sz w:val="20"/>
              </w:rPr>
              <w:br/>
              <w:br/>
              <w:br/>
              <w:t>____________________</w:t>
              <w:br/>
              <w:t>Tanggal: ___/___/______</w:t>
            </w:r>
          </w:p>
        </w:tc>
      </w:tr>
      <w:tr>
        <w:tc>
          <w:tcPr>
            <w:tcW w:type="dxa" w:w="3041"/>
            <w:tcBorders>
              <w:top w:val="single" w:sz="4" w:space="0" w:color="000000"/>
              <w:bottom w:val="single" w:sz="4" w:space="0" w:color="000000"/>
              <w:left w:val="single" w:sz="4" w:space="0" w:color="000000"/>
              <w:right w:val="single" w:sz="4" w:space="0" w:color="000000"/>
            </w:tcBorders>
          </w:tcPr>
          <w:p>
            <w:pPr>
              <w:jc w:val="center"/>
            </w:pPr>
            <w:r>
              <w:rPr>
                <w:rFonts w:ascii="Arial" w:hAnsi="Arial"/>
                <w:b/>
                <w:sz w:val="22"/>
              </w:rPr>
              <w:t>Diperiksa oleh</w:t>
            </w:r>
          </w:p>
        </w:tc>
        <w:tc>
          <w:tcPr>
            <w:tcW w:type="dxa" w:w="3041"/>
            <w:tcBorders>
              <w:top w:val="single" w:sz="4" w:space="0" w:color="000000"/>
              <w:bottom w:val="single" w:sz="4" w:space="0" w:color="000000"/>
              <w:left w:val="single" w:sz="4" w:space="0" w:color="000000"/>
              <w:right w:val="single" w:sz="4" w:space="0" w:color="000000"/>
            </w:tcBorders>
          </w:tcPr>
          <w:p>
            <w:pPr>
              <w:jc w:val="center"/>
            </w:pPr>
            <w:r>
              <w:rPr>
                <w:rFonts w:ascii="Arial" w:hAnsi="Arial"/>
                <w:sz w:val="20"/>
              </w:rPr>
              <w:br/>
              <w:br/>
              <w:br/>
              <w:t>Budi Santoso</w:t>
              <w:br/>
              <w:t>Technical &amp; HSE Lead</w:t>
            </w:r>
          </w:p>
        </w:tc>
        <w:tc>
          <w:tcPr>
            <w:tcW w:type="dxa" w:w="3041"/>
            <w:tcBorders>
              <w:top w:val="single" w:sz="4" w:space="0" w:color="000000"/>
              <w:bottom w:val="single" w:sz="4" w:space="0" w:color="000000"/>
              <w:left w:val="single" w:sz="4" w:space="0" w:color="000000"/>
              <w:right w:val="single" w:sz="4" w:space="0" w:color="000000"/>
            </w:tcBorders>
          </w:tcPr>
          <w:p>
            <w:pPr>
              <w:jc w:val="center"/>
            </w:pPr>
            <w:r>
              <w:rPr>
                <w:rFonts w:ascii="Arial" w:hAnsi="Arial"/>
                <w:sz w:val="20"/>
              </w:rPr>
              <w:br/>
              <w:br/>
              <w:br/>
              <w:t>____________________</w:t>
              <w:br/>
              <w:t>Tanggal: ___/___/______</w:t>
            </w:r>
          </w:p>
        </w:tc>
      </w:tr>
      <w:tr>
        <w:tc>
          <w:tcPr>
            <w:tcW w:type="dxa" w:w="3041"/>
            <w:tcBorders>
              <w:top w:val="single" w:sz="4" w:space="0" w:color="000000"/>
              <w:bottom w:val="single" w:sz="4" w:space="0" w:color="000000"/>
              <w:left w:val="single" w:sz="4" w:space="0" w:color="000000"/>
              <w:right w:val="single" w:sz="4" w:space="0" w:color="000000"/>
            </w:tcBorders>
          </w:tcPr>
          <w:p>
            <w:pPr>
              <w:jc w:val="center"/>
            </w:pPr>
            <w:r>
              <w:rPr>
                <w:rFonts w:ascii="Arial" w:hAnsi="Arial"/>
                <w:b/>
                <w:sz w:val="22"/>
              </w:rPr>
              <w:t>Disetujui oleh</w:t>
            </w:r>
          </w:p>
        </w:tc>
        <w:tc>
          <w:tcPr>
            <w:tcW w:type="dxa" w:w="3041"/>
            <w:tcBorders>
              <w:top w:val="single" w:sz="4" w:space="0" w:color="000000"/>
              <w:bottom w:val="single" w:sz="4" w:space="0" w:color="000000"/>
              <w:left w:val="single" w:sz="4" w:space="0" w:color="000000"/>
              <w:right w:val="single" w:sz="4" w:space="0" w:color="000000"/>
            </w:tcBorders>
          </w:tcPr>
          <w:p>
            <w:pPr>
              <w:jc w:val="center"/>
            </w:pPr>
            <w:r>
              <w:rPr>
                <w:rFonts w:ascii="Arial" w:hAnsi="Arial"/>
                <w:sz w:val="20"/>
              </w:rPr>
              <w:br/>
              <w:br/>
              <w:br/>
              <w:t>Ir. Siti Rahayu</w:t>
              <w:br/>
              <w:t>Client Representative / Director</w:t>
            </w:r>
          </w:p>
        </w:tc>
        <w:tc>
          <w:tcPr>
            <w:tcW w:type="dxa" w:w="3041"/>
            <w:tcBorders>
              <w:top w:val="single" w:sz="4" w:space="0" w:color="000000"/>
              <w:bottom w:val="single" w:sz="4" w:space="0" w:color="000000"/>
              <w:left w:val="single" w:sz="4" w:space="0" w:color="000000"/>
              <w:right w:val="single" w:sz="4" w:space="0" w:color="000000"/>
            </w:tcBorders>
          </w:tcPr>
          <w:p>
            <w:pPr>
              <w:jc w:val="center"/>
            </w:pPr>
            <w:r>
              <w:rPr>
                <w:rFonts w:ascii="Arial" w:hAnsi="Arial"/>
                <w:sz w:val="20"/>
              </w:rPr>
              <w:br/>
              <w:br/>
              <w:br/>
              <w:t>____________________</w:t>
              <w:br/>
              <w:t>Tanggal: ___/___/______</w:t>
            </w:r>
          </w:p>
        </w:tc>
      </w:tr>
    </w:tbl>
    <w:p>
      <w:r>
        <w:br w:type="page"/>
      </w:r>
    </w:p>
    <w:p>
      <w:pPr>
        <w:spacing w:before="480" w:after="360"/>
        <w:jc w:val="center"/>
      </w:pPr>
      <w:r>
        <w:rPr>
          <w:rFonts w:ascii="Arial" w:hAnsi="Arial"/>
          <w:b/>
          <w:sz w:val="28"/>
        </w:rPr>
        <w:t>DAFTAR ISI</w:t>
      </w:r>
    </w:p>
    <w:p>
      <w:r>
        <w:fldChar w:fldCharType="begin"/>
      </w:r>
      <w:r>
        <w:instrText xml:space="preserve"> TOC \o "1-3" \h \z \u </w:instrText>
      </w:r>
      <w:r>
        <w:fldChar w:fldCharType="separate"/>
      </w:r>
      <w:r>
        <w:rPr>
          <w:rFonts w:ascii="Arial" w:hAnsi="Arial"/>
          <w:color w:val="808080"/>
          <w:sz w:val="22"/>
        </w:rPr>
        <w:t>(Tekan F9 di Microsoft Word untuk update Daftar Isi)</w:t>
      </w:r>
      <w:r>
        <w:fldChar w:fldCharType="end"/>
      </w:r>
    </w:p>
    <w:p>
      <w:r>
        <w:br w:type="page"/>
      </w:r>
    </w:p>
    <w:p>
      <w:pPr>
        <w:sectPr>
          <w:pgSz w:w="12240" w:h="15840"/>
          <w:pgMar w:top="1701" w:right="1417" w:bottom="1417" w:left="1701" w:header="720" w:footer="720" w:gutter="0"/>
          <w:cols w:space="720"/>
          <w:docGrid w:linePitch="360"/>
        </w:sectPr>
      </w:pPr>
    </w:p>
    <w:p>
      <w:pPr>
        <w:pStyle w:val="Heading1"/>
      </w:pPr>
      <w:r>
        <w:rPr>
          <w:rFonts w:ascii="Arial" w:hAnsi="Arial"/>
          <w:color w:val="000000"/>
          <w:sz w:val="28"/>
        </w:rPr>
        <w:t>BAB I - UMUM</w:t>
      </w:r>
    </w:p>
    <w:p>
      <w:pPr>
        <w:pStyle w:val="Heading2"/>
      </w:pPr>
      <w:r>
        <w:rPr>
          <w:rFonts w:ascii="Arial" w:hAnsi="Arial"/>
          <w:color w:val="000000"/>
          <w:sz w:val="24"/>
        </w:rPr>
        <w:t>1.1 Latar Belakang &amp; Lokasi Proyek</w:t>
      </w:r>
    </w:p>
    <w:p>
      <w:pPr>
        <w:spacing w:line="360" w:lineRule="auto" w:after="120"/>
      </w:pPr>
      <w:r>
        <w:rPr>
          <w:rFonts w:ascii="Arial" w:hAnsi="Arial"/>
          <w:sz w:val="24"/>
        </w:rPr>
        <w:t>Pekerjaan ini dilaksanakan di lokasi FUEL TERMINAL PEMATANG SIANTAR dengan tujuan membangun tangki air bertekanan rendah berkapasitas 1.000 KL (1.000 m³). Proyek ini mencakup seluruh tahapan mulai dari persiapan lapangan, pekerjaan pondasi, fabrikasi &amp; erection tangki, hingga uji fungsi dan serah terima. Seluruh pelaksanaan wajib mengacu pada standar keselamatan CSMS tingkat MEDIUM serta regulasi internal PERUSAHAAN.</w:t>
      </w:r>
    </w:p>
    <w:p>
      <w:pPr>
        <w:pStyle w:val="Heading2"/>
      </w:pPr>
      <w:r>
        <w:rPr>
          <w:rFonts w:ascii="Arial" w:hAnsi="Arial"/>
          <w:color w:val="000000"/>
          <w:sz w:val="24"/>
        </w:rPr>
        <w:t>1.2 Ruang Lingkup Pekerjaan</w:t>
      </w:r>
    </w:p>
    <w:p>
      <w:pPr>
        <w:pStyle w:val="ListBullet"/>
      </w:pPr>
      <w:r>
        <w:rPr>
          <w:rFonts w:ascii="Arial" w:hAnsi="Arial"/>
          <w:sz w:val="24"/>
        </w:rPr>
        <w:t>Persiapan &amp; administrasi lapangan termasuk penyediaan direksi kit (kantor &amp; gudang kontainer 40 ft), survei topografi, dan pengurusan material approval.</w:t>
      </w:r>
    </w:p>
    <w:p>
      <w:pPr>
        <w:pStyle w:val="ListBullet"/>
      </w:pPr>
      <w:r>
        <w:rPr>
          <w:rFonts w:ascii="Arial" w:hAnsi="Arial"/>
          <w:sz w:val="24"/>
        </w:rPr>
        <w:t>Pekerjaan pondasi &amp; substruktur meliputi pemancangan 25 titik spun pile Ø400 mm, pemotongan tiang, pengecoran terusan, pile cap, slab lantai, dan urugan pasir padatan.</w:t>
      </w:r>
    </w:p>
    <w:p>
      <w:pPr>
        <w:pStyle w:val="ListBullet"/>
      </w:pPr>
      <w:r>
        <w:rPr>
          <w:rFonts w:ascii="Arial" w:hAnsi="Arial"/>
          <w:sz w:val="24"/>
        </w:rPr>
        <w:t>Fabrikasi &amp; erection tangki mencakup pengerollan plat, pemotongan presisi, penyetelan, pengelasan, perakitan shell (Ring I–VI), bottom annular plate, dan roof plate.</w:t>
      </w:r>
    </w:p>
    <w:p>
      <w:pPr>
        <w:pStyle w:val="ListBullet"/>
      </w:pPr>
      <w:r>
        <w:rPr>
          <w:rFonts w:ascii="Arial" w:hAnsi="Arial"/>
          <w:sz w:val="24"/>
        </w:rPr>
        <w:t>Uji hidrostatik, dokumentasi akhir, serta penyerahan dokumen teknis dan serah terima pekerjaan kepada PERUSAHAAN.</w:t>
      </w:r>
    </w:p>
    <w:p>
      <w:pPr>
        <w:pStyle w:val="Heading2"/>
      </w:pPr>
      <w:r>
        <w:rPr>
          <w:rFonts w:ascii="Arial" w:hAnsi="Arial"/>
          <w:color w:val="000000"/>
          <w:sz w:val="24"/>
        </w:rPr>
        <w:t>1.3 Referensi &amp; Standar Acuan</w:t>
      </w:r>
    </w:p>
    <w:p>
      <w:pPr>
        <w:pStyle w:val="ListNumber"/>
      </w:pPr>
      <w:r>
        <w:rPr>
          <w:rFonts w:ascii="Arial" w:hAnsi="Arial"/>
          <w:sz w:val="24"/>
        </w:rPr>
        <w:t>Spesifikasi Material Plat: ASTM A 283 Grade C (tebal 6 mm, dimensi 6' × 20').</w:t>
      </w:r>
    </w:p>
    <w:p>
      <w:pPr>
        <w:pStyle w:val="ListNumber"/>
      </w:pPr>
      <w:r>
        <w:rPr>
          <w:rFonts w:ascii="Arial" w:hAnsi="Arial"/>
          <w:sz w:val="24"/>
        </w:rPr>
        <w:t>Standar Mutu Beton: SNI &amp; spesifikasi ready mix K-250 (terusan/kepala tiang) dan K-300 (poer/slab utama).</w:t>
      </w:r>
    </w:p>
    <w:p>
      <w:pPr>
        <w:pStyle w:val="ListNumber"/>
      </w:pPr>
      <w:r>
        <w:rPr>
          <w:rFonts w:ascii="Arial" w:hAnsi="Arial"/>
          <w:sz w:val="24"/>
        </w:rPr>
        <w:t>Pedoman HSSE Pertamina &amp; Peraturan K3 Umum (Permenaker No. 4 Tahun 2023).</w:t>
      </w:r>
    </w:p>
    <w:p>
      <w:pPr>
        <w:pStyle w:val="ListNumber"/>
      </w:pPr>
      <w:r>
        <w:rPr>
          <w:rFonts w:ascii="Arial" w:hAnsi="Arial"/>
          <w:sz w:val="24"/>
        </w:rPr>
        <w:t>Bill of Quantity (BOQ) &amp; Rencana Anggaran Biaya (RAB) yang telah disepakati.</w:t>
      </w:r>
    </w:p>
    <w:p>
      <w:pPr>
        <w:pStyle w:val="ListNumber"/>
      </w:pPr>
      <w:r>
        <w:rPr>
          <w:rFonts w:ascii="Arial" w:hAnsi="Arial"/>
          <w:sz w:val="24"/>
        </w:rPr>
        <w:t>Notulen Kick-Off Meeting &amp; Surat Perjanjian Kontrak yang berlaku.</w:t>
      </w:r>
    </w:p>
    <w:p>
      <w:pPr>
        <w:pStyle w:val="Heading1"/>
      </w:pPr>
      <w:r>
        <w:rPr>
          <w:rFonts w:ascii="Arial" w:hAnsi="Arial"/>
          <w:color w:val="000000"/>
          <w:sz w:val="28"/>
        </w:rPr>
        <w:t>BAB II - PERSYARATAN TEKNIS &amp; MATERIAL</w:t>
      </w:r>
    </w:p>
    <w:p>
      <w:pPr>
        <w:pStyle w:val="Heading2"/>
      </w:pPr>
      <w:r>
        <w:rPr>
          <w:rFonts w:ascii="Arial" w:hAnsi="Arial"/>
          <w:color w:val="000000"/>
          <w:sz w:val="24"/>
        </w:rPr>
        <w:t>2.1 Spesifikasi Material Utama</w:t>
      </w:r>
    </w:p>
    <w:p>
      <w:pPr>
        <w:spacing w:line="360" w:lineRule="auto" w:after="120"/>
      </w:pPr>
      <w:r>
        <w:rPr>
          <w:rFonts w:ascii="Arial" w:hAnsi="Arial"/>
          <w:sz w:val="24"/>
        </w:rPr>
        <w:t>Seluruh plat tangki wajib memenuhi spesifikasi ASTM A 283 Grade C dengan ketebalan 6 mm dan berat ±525 kg/lembar. Material digunakan untuk Shell Plate (Ring I–VI), Bottom Annular Plate, dan Roof Plate. Baja tulangan beton ditetapkan sebesar 150 kg/m³ pada seluruh elemen beton bertulang. Peralatan pendukung wajib mencakup crane darat 25 ton, hammer pile (HSPD), genset 10 KVA, dan scaffolding standar industri.</w:t>
      </w:r>
    </w:p>
    <w:p>
      <w:pPr>
        <w:pStyle w:val="Heading2"/>
      </w:pPr>
      <w:r>
        <w:rPr>
          <w:rFonts w:ascii="Arial" w:hAnsi="Arial"/>
          <w:color w:val="000000"/>
          <w:sz w:val="24"/>
        </w:rPr>
        <w:t>2.2 Komposisi &amp; Mutu Beton</w:t>
      </w:r>
    </w:p>
    <w:p>
      <w:pPr>
        <w:pStyle w:val="ListBullet"/>
      </w:pPr>
      <w:r>
        <w:rPr>
          <w:rFonts w:ascii="Arial" w:hAnsi="Arial"/>
          <w:sz w:val="24"/>
        </w:rPr>
        <w:t>Ready Mix K-250: Digunakan untuk terusan tiang pancang (0,6 m × 0,6 m × 2,4 m) dan kepala tiang/pile cap.</w:t>
      </w:r>
    </w:p>
    <w:p>
      <w:pPr>
        <w:pStyle w:val="ListBullet"/>
      </w:pPr>
      <w:r>
        <w:rPr>
          <w:rFonts w:ascii="Arial" w:hAnsi="Arial"/>
          <w:sz w:val="24"/>
        </w:rPr>
        <w:t>Ready Mix K-300: Digunakan untuk poer dan slab lantai utama tangki.</w:t>
      </w:r>
    </w:p>
    <w:p>
      <w:pPr>
        <w:pStyle w:val="ListBullet"/>
      </w:pPr>
      <w:r>
        <w:rPr>
          <w:rFonts w:ascii="Arial" w:hAnsi="Arial"/>
          <w:sz w:val="24"/>
        </w:rPr>
        <w:t>Cor Manual K-250: Untuk pekerjaan terusan dan detail lokal.</w:t>
      </w:r>
    </w:p>
    <w:p>
      <w:pPr>
        <w:pStyle w:val="ListBullet"/>
      </w:pPr>
      <w:r>
        <w:rPr>
          <w:rFonts w:ascii="Arial" w:hAnsi="Arial"/>
          <w:sz w:val="24"/>
        </w:rPr>
        <w:t>Lantai Kerja: Cor non-struktural campuran 1:3:5 setebal 10–15 cm.</w:t>
      </w:r>
    </w:p>
    <w:p>
      <w:pPr>
        <w:pStyle w:val="ListBullet"/>
      </w:pPr>
      <w:r>
        <w:rPr>
          <w:rFonts w:ascii="Arial" w:hAnsi="Arial"/>
          <w:sz w:val="24"/>
        </w:rPr>
        <w:t>Beton Batu Kali: Campuran 1:2:3 untuk galian dan backfill strategis.</w:t>
      </w:r>
    </w:p>
    <w:p>
      <w:pPr>
        <w:pStyle w:val="Heading2"/>
      </w:pPr>
      <w:r>
        <w:rPr>
          <w:rFonts w:ascii="Arial" w:hAnsi="Arial"/>
          <w:color w:val="000000"/>
          <w:sz w:val="24"/>
        </w:rPr>
        <w:t>2.3 Proses Fabrikasi &amp; Instalasi</w:t>
      </w:r>
    </w:p>
    <w:p>
      <w:pPr>
        <w:pStyle w:val="ListNumber"/>
      </w:pPr>
      <w:r>
        <w:rPr>
          <w:rFonts w:ascii="Arial" w:hAnsi="Arial"/>
          <w:sz w:val="24"/>
        </w:rPr>
        <w:t>Plat harus melalui proses pengerollan, pemotongan presisi, dan penyetelan sesuai shop drawing yang telah disetujui.</w:t>
      </w:r>
    </w:p>
    <w:p>
      <w:pPr>
        <w:pStyle w:val="ListNumber"/>
      </w:pPr>
      <w:r>
        <w:rPr>
          <w:rFonts w:ascii="Arial" w:hAnsi="Arial"/>
          <w:sz w:val="24"/>
        </w:rPr>
        <w:t>Pengelasan wajib dilakukan oleh welder bersertifikat sesuai standar AWS D1.1 atau setara, dengan prosedur WPS/PQR yang telah diverifikasi.</w:t>
      </w:r>
    </w:p>
    <w:p>
      <w:pPr>
        <w:pStyle w:val="ListNumber"/>
      </w:pPr>
      <w:r>
        <w:rPr>
          <w:rFonts w:ascii="Arial" w:hAnsi="Arial"/>
          <w:sz w:val="24"/>
        </w:rPr>
        <w:t>Proses erection dan penyimpanan material wajib menggunakan crane darat 25 ton untuk menjamin keamanan struktur dan stabilitas kerja.</w:t>
      </w:r>
    </w:p>
    <w:p>
      <w:pPr>
        <w:pStyle w:val="ListNumber"/>
      </w:pPr>
      <w:r>
        <w:rPr>
          <w:rFonts w:ascii="Arial" w:hAnsi="Arial"/>
          <w:sz w:val="24"/>
        </w:rPr>
        <w:t>Semua sambungan struktural dan pelat dasar harus divisiutasi sebelum pengelasan final untuk mencegah distorsi.</w:t>
      </w:r>
    </w:p>
    <w:p>
      <w:pPr>
        <w:pStyle w:val="Heading1"/>
      </w:pPr>
      <w:r>
        <w:rPr>
          <w:rFonts w:ascii="Arial" w:hAnsi="Arial"/>
          <w:color w:val="000000"/>
          <w:sz w:val="28"/>
        </w:rPr>
        <w:t>BAB III - RUANG LINGKUP PEKERJAAN &amp; METODE EKSEKUSI</w:t>
      </w:r>
    </w:p>
    <w:p>
      <w:pPr>
        <w:pStyle w:val="Heading2"/>
      </w:pPr>
      <w:r>
        <w:rPr>
          <w:rFonts w:ascii="Arial" w:hAnsi="Arial"/>
          <w:color w:val="000000"/>
          <w:sz w:val="24"/>
        </w:rPr>
        <w:t>3.1 Persiapan Lapangan &amp; Administrasi</w:t>
      </w:r>
    </w:p>
    <w:p>
      <w:pPr>
        <w:pStyle w:val="ListBullet"/>
      </w:pPr>
      <w:r>
        <w:rPr>
          <w:rFonts w:ascii="Arial" w:hAnsi="Arial"/>
          <w:sz w:val="24"/>
        </w:rPr>
        <w:t>Penyediaan direksi kit berupa kontainer 40 ft sebagai kantor proyek dan gudang material.</w:t>
      </w:r>
    </w:p>
    <w:p>
      <w:pPr>
        <w:pStyle w:val="ListBullet"/>
      </w:pPr>
      <w:r>
        <w:rPr>
          <w:rFonts w:ascii="Arial" w:hAnsi="Arial"/>
          <w:sz w:val="24"/>
        </w:rPr>
        <w:t>Survei pengukuran awal, pemetaan titik pemancangan (25 titik spun pile Ø400 mm, kedalaman tanam 18 meter).</w:t>
      </w:r>
    </w:p>
    <w:p>
      <w:pPr>
        <w:pStyle w:val="ListBullet"/>
      </w:pPr>
      <w:r>
        <w:rPr>
          <w:rFonts w:ascii="Arial" w:hAnsi="Arial"/>
          <w:sz w:val="24"/>
        </w:rPr>
        <w:t>Pengajuan material approval ke PERUSAHAAN sebelum pengiriman barang ke lokasi.</w:t>
      </w:r>
    </w:p>
    <w:p>
      <w:pPr>
        <w:pStyle w:val="ListBullet"/>
      </w:pPr>
      <w:r>
        <w:rPr>
          <w:rFonts w:ascii="Arial" w:hAnsi="Arial"/>
          <w:sz w:val="24"/>
        </w:rPr>
        <w:t>Penyusunan shop drawing, as-built drawing, dan rencana jadwal pelaksanaan (Gantt Chart).</w:t>
      </w:r>
    </w:p>
    <w:p>
      <w:pPr>
        <w:pStyle w:val="Heading2"/>
      </w:pPr>
      <w:r>
        <w:rPr>
          <w:rFonts w:ascii="Arial" w:hAnsi="Arial"/>
          <w:color w:val="000000"/>
          <w:sz w:val="24"/>
        </w:rPr>
        <w:t>3.2 Pekerjaan Pondasi &amp; Substruktur</w:t>
      </w:r>
    </w:p>
    <w:p>
      <w:pPr>
        <w:pStyle w:val="ListNumber"/>
      </w:pPr>
      <w:r>
        <w:rPr>
          <w:rFonts w:ascii="Arial" w:hAnsi="Arial"/>
          <w:sz w:val="24"/>
        </w:rPr>
        <w:t>Mobilisasi alat pemancangan (HSPD + crane bantu) dan demobilisasi setelah selesai.</w:t>
      </w:r>
    </w:p>
    <w:p>
      <w:pPr>
        <w:pStyle w:val="ListNumber"/>
      </w:pPr>
      <w:r>
        <w:rPr>
          <w:rFonts w:ascii="Arial" w:hAnsi="Arial"/>
          <w:sz w:val="24"/>
        </w:rPr>
        <w:t>Pemancangan spun pile Tipe A3 Mutu K450 hingga elevasi design, dilanjutkan pemotongan tiang.</w:t>
      </w:r>
    </w:p>
    <w:p>
      <w:pPr>
        <w:pStyle w:val="ListNumber"/>
      </w:pPr>
      <w:r>
        <w:rPr>
          <w:rFonts w:ascii="Arial" w:hAnsi="Arial"/>
          <w:sz w:val="24"/>
        </w:rPr>
        <w:t>Pengecoran terusan tiang pancang dan pembuatan bekisting berulang untuk pile cap.</w:t>
      </w:r>
    </w:p>
    <w:p>
      <w:pPr>
        <w:pStyle w:val="ListNumber"/>
      </w:pPr>
      <w:r>
        <w:rPr>
          <w:rFonts w:ascii="Arial" w:hAnsi="Arial"/>
          <w:sz w:val="24"/>
        </w:rPr>
        <w:t>Urugan pasir padatan, pemasangan lantai kerja cor 1:3:5, dan pengecoran poer/slab beton K-300.</w:t>
      </w:r>
    </w:p>
    <w:p>
      <w:pPr>
        <w:pStyle w:val="Heading2"/>
      </w:pPr>
      <w:r>
        <w:rPr>
          <w:rFonts w:ascii="Arial" w:hAnsi="Arial"/>
          <w:color w:val="000000"/>
          <w:sz w:val="24"/>
        </w:rPr>
        <w:t>3.3 Fabrikasi &amp; Erection Tangki</w:t>
      </w:r>
    </w:p>
    <w:p>
      <w:pPr>
        <w:spacing w:line="360" w:lineRule="auto" w:after="120"/>
      </w:pPr>
      <w:r>
        <w:rPr>
          <w:rFonts w:ascii="Arial" w:hAnsi="Arial"/>
          <w:sz w:val="24"/>
        </w:rPr>
        <w:t>Kontraktor bertanggung jawab atas mobilisasi material plat, penyewaan crane 25 ton, serta seluruh proses fabrikasi di lapangan. Tahapan meliputi perakitan plat shell (Ring I–VI), pemasangan bottom annular dan roof plate, penyambungan tiang pancang (panjang total 20 m, tinggi rabat 3 m), serta persiapan area dasar tangki melalui urugan pasir rabata. Seluruh proses erection harus mengutamakan alignment vertikal dan horizontal sesuai toleransi engineering.</w:t>
      </w:r>
    </w:p>
    <w:p>
      <w:pPr>
        <w:pStyle w:val="Heading2"/>
      </w:pPr>
      <w:r>
        <w:rPr>
          <w:rFonts w:ascii="Arial" w:hAnsi="Arial"/>
          <w:color w:val="000000"/>
          <w:sz w:val="24"/>
        </w:rPr>
        <w:t>3.4 Uji Fungsi &amp; Persiapan Serah Terima</w:t>
      </w:r>
    </w:p>
    <w:p>
      <w:pPr>
        <w:pStyle w:val="ListBullet"/>
      </w:pPr>
      <w:r>
        <w:rPr>
          <w:rFonts w:ascii="Arial" w:hAnsi="Arial"/>
          <w:sz w:val="24"/>
        </w:rPr>
        <w:t>Persiapan sistem uji hidrostatik tangki menggunakan air dengan dukungan pompa dan pasokan air memadai.</w:t>
      </w:r>
    </w:p>
    <w:p>
      <w:pPr>
        <w:pStyle w:val="ListBullet"/>
      </w:pPr>
      <w:r>
        <w:rPr>
          <w:rFonts w:ascii="Arial" w:hAnsi="Arial"/>
          <w:sz w:val="24"/>
        </w:rPr>
        <w:t>Dokumentasi hasil pengujian, inspeksi visual, dan NDT (jika diperlukan) sesuai standar penerimaan.</w:t>
      </w:r>
    </w:p>
    <w:p>
      <w:pPr>
        <w:pStyle w:val="ListBullet"/>
      </w:pPr>
      <w:r>
        <w:rPr>
          <w:rFonts w:ascii="Arial" w:hAnsi="Arial"/>
          <w:sz w:val="24"/>
        </w:rPr>
        <w:t>Pembersihan akhir area kerja dari sisa material, kemasan, dan limbah konstruksi.</w:t>
      </w:r>
    </w:p>
    <w:p>
      <w:pPr>
        <w:pStyle w:val="ListBullet"/>
      </w:pPr>
      <w:r>
        <w:rPr>
          <w:rFonts w:ascii="Arial" w:hAnsi="Arial"/>
          <w:sz w:val="24"/>
        </w:rPr>
        <w:t>Penyerahan dokumen teknis lengkap dan serah terima fisik kepada PERUSAHAAN.</w:t>
      </w:r>
    </w:p>
    <w:p>
      <w:pPr>
        <w:pStyle w:val="Heading1"/>
      </w:pPr>
      <w:r>
        <w:rPr>
          <w:rFonts w:ascii="Arial" w:hAnsi="Arial"/>
          <w:color w:val="000000"/>
          <w:sz w:val="28"/>
        </w:rPr>
        <w:t>BAB IV - KESELAMATAN, KESEHATAN KERJA &amp; LINGKUNGAN (HSSE)</w:t>
      </w:r>
    </w:p>
    <w:p>
      <w:pPr>
        <w:pStyle w:val="Heading2"/>
      </w:pPr>
      <w:r>
        <w:rPr>
          <w:rFonts w:ascii="Arial" w:hAnsi="Arial"/>
          <w:color w:val="000000"/>
          <w:sz w:val="24"/>
        </w:rPr>
        <w:t>4.1 Manajemen Risiko &amp; Protokol Keselamatan</w:t>
      </w:r>
    </w:p>
    <w:p>
      <w:pPr>
        <w:spacing w:line="360" w:lineRule="auto" w:after="120"/>
      </w:pPr>
      <w:r>
        <w:rPr>
          <w:rFonts w:ascii="Arial" w:hAnsi="Arial"/>
          <w:sz w:val="24"/>
        </w:rPr>
        <w:t>Mengingat risiko CSMS ditetapkan sebagai MEDIUM, KONTRAKTOR wajib menerapkan protokol keselamatan ketat selama seluruh masa pelaksanaan. Hal ini meliputi pengawalan operasional oleh safety man berpengalaman, penggunaan APD lengkap (helm, sepatu safety, kacamata, sarung tangan, harness), pemasangan tirai air (water curtain) untuk mitigasi debu, serta penyiapan safety line pada area kerja ketinggian. Setiap pelanggaran K3 akan segera ditindaklanjuti melalui intervensi langsung.</w:t>
      </w:r>
    </w:p>
    <w:p>
      <w:pPr>
        <w:pStyle w:val="Heading2"/>
      </w:pPr>
      <w:r>
        <w:rPr>
          <w:rFonts w:ascii="Arial" w:hAnsi="Arial"/>
          <w:color w:val="000000"/>
          <w:sz w:val="24"/>
        </w:rPr>
        <w:t>4.2 Fasilitas &amp; Peralatan HSSE</w:t>
      </w:r>
    </w:p>
    <w:p>
      <w:pPr>
        <w:pStyle w:val="ListBullet"/>
      </w:pPr>
      <w:r>
        <w:rPr>
          <w:rFonts w:ascii="Arial" w:hAnsi="Arial"/>
          <w:sz w:val="24"/>
        </w:rPr>
        <w:t>Alat pemadam kebakaran (APAR) yang tersebar strategis di area kerja dan gudang.</w:t>
      </w:r>
    </w:p>
    <w:p>
      <w:pPr>
        <w:pStyle w:val="ListBullet"/>
      </w:pPr>
      <w:r>
        <w:rPr>
          <w:rFonts w:ascii="Arial" w:hAnsi="Arial"/>
          <w:sz w:val="24"/>
        </w:rPr>
        <w:t>First aid kit lengkap dan tim pertolongan pertama siaga 24 jam.</w:t>
      </w:r>
    </w:p>
    <w:p>
      <w:pPr>
        <w:pStyle w:val="ListBullet"/>
      </w:pPr>
      <w:r>
        <w:rPr>
          <w:rFonts w:ascii="Arial" w:hAnsi="Arial"/>
          <w:sz w:val="24"/>
        </w:rPr>
        <w:t>Fire blanket untuk penanganan api akibat las listrik atau percikan bunga api.</w:t>
      </w:r>
    </w:p>
    <w:p>
      <w:pPr>
        <w:pStyle w:val="ListBullet"/>
      </w:pPr>
      <w:r>
        <w:rPr>
          <w:rFonts w:ascii="Arial" w:hAnsi="Arial"/>
          <w:sz w:val="24"/>
        </w:rPr>
        <w:t>Instalasi listrik kerja yang tergrounding dan dilengkapi MCB/RCD.</w:t>
      </w:r>
    </w:p>
    <w:p>
      <w:pPr>
        <w:pStyle w:val="ListBullet"/>
      </w:pPr>
      <w:r>
        <w:rPr>
          <w:rFonts w:ascii="Arial" w:hAnsi="Arial"/>
          <w:sz w:val="24"/>
        </w:rPr>
        <w:t>Pengelolaan limbah B3 dan bahan bakar secara aman sesuai regulasi lingkungan.</w:t>
      </w:r>
    </w:p>
    <w:p>
      <w:pPr>
        <w:pStyle w:val="Heading2"/>
      </w:pPr>
      <w:r>
        <w:rPr>
          <w:rFonts w:ascii="Arial" w:hAnsi="Arial"/>
          <w:color w:val="000000"/>
          <w:sz w:val="24"/>
        </w:rPr>
        <w:t>4.3 Pengawasan &amp; Kebersihan Area Kerja</w:t>
      </w:r>
    </w:p>
    <w:p>
      <w:pPr>
        <w:pStyle w:val="ListNumber"/>
      </w:pPr>
      <w:r>
        <w:rPr>
          <w:rFonts w:ascii="Arial" w:hAnsi="Arial"/>
          <w:sz w:val="24"/>
        </w:rPr>
        <w:t>Memastikan semua area kerja bersih dari sisa material dan pekerjaan (contoh: besi, kayu, pasir sand blast, kemasan material, kertas, dan lain-lain).</w:t>
      </w:r>
    </w:p>
    <w:p>
      <w:pPr>
        <w:pStyle w:val="ListNumber"/>
      </w:pPr>
      <w:r>
        <w:rPr>
          <w:rFonts w:ascii="Arial" w:hAnsi="Arial"/>
          <w:sz w:val="24"/>
        </w:rPr>
        <w:t>Melakukan intervensi jika menemukan personil yang membuang sampah sembarangan serta meninggalkan sisa material dan pekerjaan di area kerja.</w:t>
      </w:r>
    </w:p>
    <w:p>
      <w:pPr>
        <w:pStyle w:val="ListNumber"/>
      </w:pPr>
      <w:r>
        <w:rPr>
          <w:rFonts w:ascii="Arial" w:hAnsi="Arial"/>
          <w:sz w:val="24"/>
        </w:rPr>
        <w:t>Menyelenggarakan toolbox meeting harian sebelum memulai aktivitas konstruksi.</w:t>
      </w:r>
    </w:p>
    <w:p>
      <w:pPr>
        <w:pStyle w:val="ListNumber"/>
      </w:pPr>
      <w:r>
        <w:rPr>
          <w:rFonts w:ascii="Arial" w:hAnsi="Arial"/>
          <w:sz w:val="24"/>
        </w:rPr>
        <w:t>Pelaporan insiden/near miss dalam waktu maksimal 1x24 jam kepada pengawas PERUSAHAAN.</w:t>
      </w:r>
    </w:p>
    <w:p>
      <w:pPr>
        <w:pStyle w:val="Heading1"/>
      </w:pPr>
      <w:r>
        <w:rPr>
          <w:rFonts w:ascii="Arial" w:hAnsi="Arial"/>
          <w:color w:val="000000"/>
          <w:sz w:val="28"/>
        </w:rPr>
        <w:t>BAB V - PENGELOLAAN PROYEK, DOKUMENTASI &amp; PELAPORAN</w:t>
      </w:r>
    </w:p>
    <w:p>
      <w:pPr>
        <w:pStyle w:val="Heading2"/>
      </w:pPr>
      <w:r>
        <w:rPr>
          <w:rFonts w:ascii="Arial" w:hAnsi="Arial"/>
          <w:color w:val="000000"/>
          <w:sz w:val="24"/>
        </w:rPr>
        <w:t>5.1 Struktur Organisasi &amp; Koordinasi</w:t>
      </w:r>
    </w:p>
    <w:p>
      <w:pPr>
        <w:spacing w:line="360" w:lineRule="auto" w:after="120"/>
      </w:pPr>
      <w:r>
        <w:rPr>
          <w:rFonts w:ascii="Arial" w:hAnsi="Arial"/>
          <w:sz w:val="24"/>
        </w:rPr>
        <w:t>Selama pelaksanaan pekerjaan, KONTRAKTOR harus selalu koordinasi dengan Pengawas PERUSAHAAN yang bersangkutan. Kontraktor wajib menunjuk Site Manager dan Drafter standby selama 8 bulan untuk penyusunan shop drawing, as-built drawing, dan pelaporan bulanan. Komunikasi intensif dilakukan melalui rapat koordinasi mingguan dan notulen rapat yang menjadi acuan bersama.</w:t>
      </w:r>
    </w:p>
    <w:p>
      <w:pPr>
        <w:pStyle w:val="Heading2"/>
      </w:pPr>
      <w:r>
        <w:rPr>
          <w:rFonts w:ascii="Arial" w:hAnsi="Arial"/>
          <w:color w:val="000000"/>
          <w:sz w:val="24"/>
        </w:rPr>
        <w:t>5.2 Kewajiban Dokumentasi Teknis</w:t>
      </w:r>
    </w:p>
    <w:p>
      <w:pPr>
        <w:pStyle w:val="ListNumber"/>
      </w:pPr>
      <w:r>
        <w:rPr>
          <w:rFonts w:ascii="Arial" w:hAnsi="Arial"/>
          <w:sz w:val="24"/>
        </w:rPr>
        <w:t>KONTRAKTOR diwajibkan menyiapkan/mengumpulkan dokumen-dokumen yang berkaitan dengan pekerjaan saat pelaksanaan dan setelah pekerjaan selesai (dibuat 3 copy/buah dan diserahkan ke PERUSAHAAN: MA 3, SSIE dan Equip. OH).</w:t>
      </w:r>
    </w:p>
    <w:p>
      <w:pPr>
        <w:pStyle w:val="ListNumber"/>
      </w:pPr>
      <w:r>
        <w:rPr>
          <w:rFonts w:ascii="Arial" w:hAnsi="Arial"/>
          <w:sz w:val="24"/>
        </w:rPr>
        <w:t>Shop Drawing detail fabrikasi dan erection yang telah mendapat persetujuan (approved).</w:t>
      </w:r>
    </w:p>
    <w:p>
      <w:pPr>
        <w:pStyle w:val="ListNumber"/>
      </w:pPr>
      <w:r>
        <w:rPr>
          <w:rFonts w:ascii="Arial" w:hAnsi="Arial"/>
          <w:sz w:val="24"/>
        </w:rPr>
        <w:t>As Built Drawing sesuai kondisi lapangan aktual setelah pekerjaan selesai.</w:t>
      </w:r>
    </w:p>
    <w:p>
      <w:pPr>
        <w:pStyle w:val="ListNumber"/>
      </w:pPr>
      <w:r>
        <w:rPr>
          <w:rFonts w:ascii="Arial" w:hAnsi="Arial"/>
          <w:sz w:val="24"/>
        </w:rPr>
        <w:t>Material Approval Certificate dan Mill Test Report (MTR) untuk setiap batch material utama.</w:t>
      </w:r>
    </w:p>
    <w:p>
      <w:pPr>
        <w:pStyle w:val="ListNumber"/>
      </w:pPr>
      <w:r>
        <w:rPr>
          <w:rFonts w:ascii="Arial" w:hAnsi="Arial"/>
          <w:sz w:val="24"/>
        </w:rPr>
        <w:t>Laporan kemajuan fisik dan keuangan bulanan beserta foto dokumentasi progres.</w:t>
      </w:r>
    </w:p>
    <w:p>
      <w:pPr>
        <w:pStyle w:val="Heading2"/>
      </w:pPr>
      <w:r>
        <w:rPr>
          <w:rFonts w:ascii="Arial" w:hAnsi="Arial"/>
          <w:color w:val="000000"/>
          <w:sz w:val="24"/>
        </w:rPr>
        <w:t>5.3 Mobilisasi, Demobilisasi &amp; Logistik</w:t>
      </w:r>
    </w:p>
    <w:p>
      <w:pPr>
        <w:pStyle w:val="ListBullet"/>
      </w:pPr>
      <w:r>
        <w:rPr>
          <w:rFonts w:ascii="Arial" w:hAnsi="Arial"/>
          <w:sz w:val="24"/>
        </w:rPr>
        <w:t>Setiap material dan peralatan yang masuk ke dan keluar dari area PERUSAHAAN harus memiliki pengantar dan melalui pemeriksaan Security (Pintu-III untuk Kilang dan Pintu VIII untuk area umum).</w:t>
      </w:r>
    </w:p>
    <w:p>
      <w:pPr>
        <w:pStyle w:val="ListBullet"/>
      </w:pPr>
      <w:r>
        <w:rPr>
          <w:rFonts w:ascii="Arial" w:hAnsi="Arial"/>
          <w:sz w:val="24"/>
        </w:rPr>
        <w:t>Mobilisasi alat berat (crane 25 ton, HSPD) dan demobilisasi harus dijadwalkan minimal 7 hari sebelumnya.</w:t>
      </w:r>
    </w:p>
    <w:p>
      <w:pPr>
        <w:pStyle w:val="ListBullet"/>
      </w:pPr>
      <w:r>
        <w:rPr>
          <w:rFonts w:ascii="Arial" w:hAnsi="Arial"/>
          <w:sz w:val="24"/>
        </w:rPr>
        <w:t>Penyediaan BBM/Oli untuk operasional pompa uji hidrostatik, kompresor, mesin las, genset, dan crane.</w:t>
      </w:r>
    </w:p>
    <w:p>
      <w:pPr>
        <w:pStyle w:val="ListBullet"/>
      </w:pPr>
      <w:r>
        <w:rPr>
          <w:rFonts w:ascii="Arial" w:hAnsi="Arial"/>
          <w:sz w:val="24"/>
        </w:rPr>
        <w:t>Pengaturan rute logistik agar tidak mengganggu operasional terminal yang sedang berjalan.</w:t>
      </w:r>
    </w:p>
    <w:p>
      <w:pPr>
        <w:pStyle w:val="Heading1"/>
      </w:pPr>
      <w:r>
        <w:rPr>
          <w:rFonts w:ascii="Arial" w:hAnsi="Arial"/>
          <w:color w:val="000000"/>
          <w:sz w:val="28"/>
        </w:rPr>
        <w:t>BAB VI - SYARAT PENERIMAAN, JAMINAN &amp; SANKSI</w:t>
      </w:r>
    </w:p>
    <w:p>
      <w:pPr>
        <w:pStyle w:val="Heading2"/>
      </w:pPr>
      <w:r>
        <w:rPr>
          <w:rFonts w:ascii="Arial" w:hAnsi="Arial"/>
          <w:color w:val="000000"/>
          <w:sz w:val="24"/>
        </w:rPr>
        <w:t>6.1 Kriteria Penerimaan Pekerjaan</w:t>
      </w:r>
    </w:p>
    <w:p>
      <w:pPr>
        <w:spacing w:line="360" w:lineRule="auto" w:after="120"/>
      </w:pPr>
      <w:r>
        <w:rPr>
          <w:rFonts w:ascii="Arial" w:hAnsi="Arial"/>
          <w:sz w:val="24"/>
        </w:rPr>
        <w:t>TANGGAL SELESAINYA PEKERJAAN adalah sesuai hasil kesepakatan pada Kick-Off Meeting yang tertuang pada Notulen Rapat dengan syarat-syarat penerimaan pekerjaan: Pelaksana telah menyelesaikan seluruh pekerjaan yang menjadi tanggungjawabnya sesuai dengan lingkup kerja dan spesifikasi teknis serta semua peralatan dapat berfungsi dengan baik dan dapat diterima serta disetujui oleh PERUSAHAAN. Uji hidrostatik harus menunjukkan tidak ada kebocoran dan penurunan tekanan dalam batas toleransi yang ditetapkan.</w:t>
      </w:r>
    </w:p>
    <w:p>
      <w:pPr>
        <w:pStyle w:val="Heading2"/>
      </w:pPr>
      <w:r>
        <w:rPr>
          <w:rFonts w:ascii="Arial" w:hAnsi="Arial"/>
          <w:color w:val="000000"/>
          <w:sz w:val="24"/>
        </w:rPr>
        <w:t>6.2 Jaminan &amp; Masa Perawatan</w:t>
      </w:r>
    </w:p>
    <w:p>
      <w:pPr>
        <w:pStyle w:val="ListBullet"/>
      </w:pPr>
      <w:r>
        <w:rPr>
          <w:rFonts w:ascii="Arial" w:hAnsi="Arial"/>
          <w:sz w:val="24"/>
        </w:rPr>
        <w:t>Masa jaminan pekerjaan (Defect Liability Period) dimulai sejak tanggal serah terima resmi.</w:t>
      </w:r>
    </w:p>
    <w:p>
      <w:pPr>
        <w:pStyle w:val="ListBullet"/>
      </w:pPr>
      <w:r>
        <w:rPr>
          <w:rFonts w:ascii="Arial" w:hAnsi="Arial"/>
          <w:sz w:val="24"/>
        </w:rPr>
        <w:t>Kontraktor wajib memperbaiki atau mengganti komponen yang rusak akibat kesalahan fabrikasi atau instalasi selama masa jaminan.</w:t>
      </w:r>
    </w:p>
    <w:p>
      <w:pPr>
        <w:pStyle w:val="ListBullet"/>
      </w:pPr>
      <w:r>
        <w:rPr>
          <w:rFonts w:ascii="Arial" w:hAnsi="Arial"/>
          <w:sz w:val="24"/>
        </w:rPr>
        <w:t>Penyediaan spare part kritis dan manual book operasi/pemeliharaan tangki.</w:t>
      </w:r>
    </w:p>
    <w:p>
      <w:pPr>
        <w:pStyle w:val="ListBullet"/>
      </w:pPr>
      <w:r>
        <w:rPr>
          <w:rFonts w:ascii="Arial" w:hAnsi="Arial"/>
          <w:sz w:val="24"/>
        </w:rPr>
        <w:t>Garansi pengelasan dan coating anti-karat sesuai standar industri tangki air.</w:t>
      </w:r>
    </w:p>
    <w:p>
      <w:pPr>
        <w:pStyle w:val="Heading2"/>
      </w:pPr>
      <w:r>
        <w:rPr>
          <w:rFonts w:ascii="Arial" w:hAnsi="Arial"/>
          <w:color w:val="000000"/>
          <w:sz w:val="24"/>
        </w:rPr>
        <w:t>6.3 Sanksi &amp; Putus Kontrak</w:t>
      </w:r>
    </w:p>
    <w:p>
      <w:pPr>
        <w:pStyle w:val="ListNumber"/>
      </w:pPr>
      <w:r>
        <w:rPr>
          <w:rFonts w:ascii="Arial" w:hAnsi="Arial"/>
          <w:sz w:val="24"/>
        </w:rPr>
        <w:t>Denda keterlambatan pelaksanaan pekerjaan dihitung berdasarkan persentase tertentu per hari kalender sesuai ketentuan kontrak.</w:t>
      </w:r>
    </w:p>
    <w:p>
      <w:pPr>
        <w:pStyle w:val="ListNumber"/>
      </w:pPr>
      <w:r>
        <w:rPr>
          <w:rFonts w:ascii="Arial" w:hAnsi="Arial"/>
          <w:sz w:val="24"/>
        </w:rPr>
        <w:t>Putus kontrak secara sepihak sesuai dengan aturan yang berlaku dalam surat kontrak yang ditandatangani para PIHAK apabila KONTRAKTOR melanggar klausul kritis, gagal memenuhi target progres &gt;20% berturut-turut, atau melakukan pelanggaran HSSE berat.</w:t>
      </w:r>
    </w:p>
    <w:p>
      <w:pPr>
        <w:pStyle w:val="ListNumber"/>
      </w:pPr>
      <w:r>
        <w:rPr>
          <w:rFonts w:ascii="Arial" w:hAnsi="Arial"/>
          <w:sz w:val="24"/>
        </w:rPr>
        <w:t>KONTRAKTOR menanggung seluruh biaya perbaikan akibat cacat mutu pekerjaan yang ditemukan saat inspeksi.</w:t>
      </w:r>
    </w:p>
    <w:p>
      <w:pPr>
        <w:pStyle w:val="ListNumber"/>
      </w:pPr>
      <w:r>
        <w:rPr>
          <w:rFonts w:ascii="Arial" w:hAnsi="Arial"/>
          <w:sz w:val="24"/>
        </w:rPr>
        <w:t>Sengketa diselesaikan melalui musyawarah terlebih dahulu, kemudian arbitrase sesuai hukum yang berlaku di Indonesia.</w:t>
      </w:r>
    </w:p>
    <w:sectPr w:rsidR="00FC693F" w:rsidRPr="0006063C" w:rsidSect="00034616">
      <w:headerReference w:type="default" r:id="rId10"/>
      <w:footerReference w:type="default" r:id="rId11"/>
      <w:pgSz w:w="12240" w:h="15840"/>
      <w:pgMar w:top="1701"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1" w:color="000000"/>
      </w:pBdr>
    </w:pPr>
    <w:r>
      <w:rPr>
        <w:rFonts w:ascii="Arial" w:hAnsi="Arial"/>
        <w:sz w:val="16"/>
      </w:rPr>
      <w:t xml:space="preserve">No. Dok: RKS-[29849894]-[2026]  |  </w:t>
    </w:r>
    <w:r>
      <w:rPr>
        <w:rFonts w:ascii="Arial" w:hAnsi="Arial"/>
        <w:sz w:val="16"/>
      </w:rPr>
      <w:t xml:space="preserve">Hal. </w:t>
    </w:r>
    <w:r>
      <w:fldChar w:fldCharType="begin"/>
    </w:r>
    <w: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pPr>
    <w:r>
      <w:drawing>
        <wp:inline xmlns:a="http://schemas.openxmlformats.org/drawingml/2006/main" xmlns:pic="http://schemas.openxmlformats.org/drawingml/2006/picture">
          <wp:extent cx="1851429" cy="432000"/>
          <wp:docPr id="1" name="Picture 1"/>
          <wp:cNvGraphicFramePr>
            <a:graphicFrameLocks noChangeAspect="1"/>
          </wp:cNvGraphicFramePr>
          <a:graphic>
            <a:graphicData uri="http://schemas.openxmlformats.org/drawingml/2006/picture">
              <pic:pic>
                <pic:nvPicPr>
                  <pic:cNvPr id="0" name="logo_pertamina.png"/>
                  <pic:cNvPicPr/>
                </pic:nvPicPr>
                <pic:blipFill>
                  <a:blip r:embed="rId1"/>
                  <a:stretch>
                    <a:fillRect/>
                  </a:stretch>
                </pic:blipFill>
                <pic:spPr>
                  <a:xfrm>
                    <a:off x="0" y="0"/>
                    <a:ext cx="1851429" cy="432000"/>
                  </a:xfrm>
                  <a:prstGeom prst="rect"/>
                </pic:spPr>
              </pic:pic>
            </a:graphicData>
          </a:graphic>
        </wp:inline>
      </w:drawing>
    </w:r>
    <w:r>
      <w:t xml:space="preserve">  </w:t>
    </w:r>
    <w:r>
      <w:rPr>
        <w:rFonts w:ascii="Arial" w:hAnsi="Arial"/>
        <w:b/>
        <w:sz w:val="18"/>
      </w:rPr>
      <w:t>PT Kungfu Panda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