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32"/>
              </w:rPr>
              <w:t>RENCANA KERJA DAN SYARAT-SYARAT</w:t>
              <w:br/>
              <w:t>(RKS)</w:t>
            </w:r>
          </w:p>
        </w:tc>
      </w:tr>
    </w:tbl>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24"/>
              </w:rPr>
              <w:t>Pembangunan Tangki Air Kapasitas 1000 KL</w:t>
            </w:r>
          </w:p>
        </w:tc>
      </w:tr>
    </w:tbl>
    <w:p/>
    <w:p>
      <w:pPr>
        <w:spacing w:before="240" w:after="240"/>
        <w:jc w:val="center"/>
      </w:pPr>
      <w:r>
        <w:rPr>
          <w:rFonts w:ascii="Arial" w:hAnsi="Arial"/>
          <w:b/>
          <w:sz w:val="24"/>
        </w:rPr>
        <w:t>Bidder List No: ______________________________</w:t>
      </w:r>
    </w:p>
    <w:p>
      <w:pPr>
        <w:spacing w:before="240" w:after="120"/>
        <w:jc w:val="center"/>
      </w:pPr>
      <w:r>
        <w:rPr>
          <w:rFonts w:ascii="Arial" w:hAnsi="Arial"/>
          <w:b/>
          <w:sz w:val="24"/>
        </w:rPr>
        <w:t>RESIKO PEKERJAAN (ASPEK CSMS):</w:t>
      </w:r>
    </w:p>
    <w:p>
      <w:pPr>
        <w:spacing w:before="0" w:after="360"/>
        <w:jc w:val="center"/>
      </w:pPr>
      <w:r>
        <w:rPr>
          <w:rFonts w:ascii="Arial" w:hAnsi="Arial"/>
          <w:b/>
          <w:sz w:val="24"/>
        </w:rPr>
        <w:t>☑ HIGH     ☐ MIDDLE     ☐ LOW</w:t>
      </w:r>
    </w:p>
    <w:p>
      <w:pPr>
        <w:jc w:val="center"/>
      </w:pPr>
      <w:r>
        <w:drawing>
          <wp:inline xmlns:a="http://schemas.openxmlformats.org/drawingml/2006/main" xmlns:pic="http://schemas.openxmlformats.org/drawingml/2006/picture">
            <wp:extent cx="1800000" cy="420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9"/>
                    <a:stretch>
                      <a:fillRect/>
                    </a:stretch>
                  </pic:blipFill>
                  <pic:spPr>
                    <a:xfrm>
                      <a:off x="0" y="0"/>
                      <a:ext cx="1800000" cy="420000"/>
                    </a:xfrm>
                    <a:prstGeom prst="rect"/>
                  </pic:spPr>
                </pic:pic>
              </a:graphicData>
            </a:graphic>
          </wp:inline>
        </w:drawing>
      </w:r>
    </w:p>
    <w:p>
      <w:pPr>
        <w:spacing w:before="240" w:after="240"/>
      </w:pPr>
    </w:p>
    <w:p>
      <w:pPr>
        <w:spacing w:before="240" w:after="240"/>
      </w:pPr>
    </w:p>
    <w:p>
      <w:pPr>
        <w:spacing w:before="240" w:after="240"/>
      </w:pPr>
    </w:p>
    <w:p>
      <w:pPr>
        <w:spacing w:before="240" w:after="240"/>
      </w:pPr>
    </w:p>
    <w:p>
      <w:pPr>
        <w:spacing w:before="0" w:after="0"/>
        <w:jc w:val="center"/>
      </w:pPr>
      <w:r>
        <w:rPr>
          <w:rFonts w:ascii="Arial" w:hAnsi="Arial"/>
          <w:b/>
          <w:sz w:val="24"/>
        </w:rPr>
        <w:t>PT PERTAMINA (PERSERO)</w:t>
      </w:r>
    </w:p>
    <w:p>
      <w:pPr>
        <w:sectPr>
          <w:pgSz w:w="12240" w:h="15840"/>
          <w:pgMar w:top="1701" w:right="1417" w:bottom="1417" w:left="1701"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480"/>
        <w:jc w:val="center"/>
      </w:pPr>
      <w:r>
        <w:rPr>
          <w:rFonts w:ascii="Arial" w:hAnsi="Arial"/>
          <w:b/>
          <w:sz w:val="28"/>
        </w:rPr>
        <w:t>LEMBAR PENGESAHAN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Nama / Jabatan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Tanda Tangan</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Disusun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Staff Engineer</w:t>
              <w:br/>
              <w:t>Penyusun Spesifikasi Teknis</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Diperiksa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Senior Engineer</w:t>
              <w:br/>
              <w:t>Pemeriksa Rencana Kerja</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Disetujui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Project Manager</w:t>
              <w:br/>
              <w:t>Penyetuju Dokumen RKS</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bl>
    <w:p>
      <w:r>
        <w:br w:type="page"/>
      </w:r>
    </w:p>
    <w:p>
      <w:pPr>
        <w:spacing w:before="480" w:after="360"/>
        <w:jc w:val="center"/>
      </w:pPr>
      <w:r>
        <w:rPr>
          <w:rFonts w:ascii="Arial" w:hAnsi="Arial"/>
          <w:b/>
          <w:sz w:val="28"/>
        </w:rPr>
        <w:t>DAFTAR ISI</w:t>
      </w:r>
    </w:p>
    <w:p>
      <w:r>
        <w:fldChar w:fldCharType="begin"/>
      </w:r>
      <w:r>
        <w:instrText xml:space="preserve"> TOC \o "1-3" \h \z \u </w:instrText>
      </w:r>
      <w:r>
        <w:fldChar w:fldCharType="separate"/>
      </w:r>
      <w:r>
        <w:rPr>
          <w:rFonts w:ascii="Arial" w:hAnsi="Arial"/>
          <w:color w:val="808080"/>
          <w:sz w:val="22"/>
        </w:rPr>
        <w:t>(Tekan F9 di Microsoft Word untuk update Daftar Isi)</w:t>
      </w:r>
      <w:r>
        <w:fldChar w:fldCharType="end"/>
      </w:r>
    </w:p>
    <w:p>
      <w:r>
        <w:br w:type="page"/>
      </w:r>
    </w:p>
    <w:p>
      <w:pPr>
        <w:sectPr>
          <w:pgSz w:w="12240" w:h="15840"/>
          <w:pgMar w:top="1701" w:right="1417" w:bottom="1417" w:left="1701" w:header="720" w:footer="720" w:gutter="0"/>
          <w:cols w:space="720"/>
          <w:docGrid w:linePitch="360"/>
        </w:sectPr>
      </w:pPr>
    </w:p>
    <w:p>
      <w:pPr>
        <w:pStyle w:val="Heading1"/>
      </w:pPr>
      <w:r>
        <w:rPr>
          <w:rFonts w:ascii="Arial" w:hAnsi="Arial"/>
          <w:color w:val="000000"/>
          <w:sz w:val="28"/>
        </w:rPr>
        <w:t>BAB I - PENDAHULUAN</w:t>
      </w:r>
    </w:p>
    <w:p>
      <w:pPr>
        <w:pStyle w:val="Heading2"/>
      </w:pPr>
      <w:r>
        <w:rPr>
          <w:rFonts w:ascii="Arial" w:hAnsi="Arial"/>
          <w:color w:val="000000"/>
          <w:sz w:val="24"/>
        </w:rPr>
        <w:t>1.1 Latar Belakang dan Ruang Lingkup Pekerjaan</w:t>
      </w:r>
    </w:p>
    <w:p>
      <w:pPr>
        <w:spacing w:line="360" w:lineRule="auto" w:after="120"/>
      </w:pPr>
      <w:r>
        <w:rPr>
          <w:rFonts w:ascii="Arial" w:hAnsi="Arial"/>
          <w:sz w:val="24"/>
        </w:rPr>
        <w:t>Pekerjaan ini mencakup pembangunan tangki air timbun baja carbon steel dengan kapasitas 1.000 KL yang berlokasi di Fuel Terminal Siantar. Kontraktor kontrak jasa wajib melaksanakan dan menyelesaikan seluruh pekerjaan yang tertera dalam RKS serta Berita Acara Penjelasan Pekerjaan sehingga kualitas pekerjaan dapat dipertanggungjawabkan dan memuaskan Pemberi Pekerjaan. Ruang lingkup meliputi persiapan lokasi, pekerjaan pondasi spun pile, fabrikasi dan erection tangki, instalasi fitting dan perpipuan, sistem pelapisan (coating), serta penyediaan fasilitas HSSE dan administrasi proyek selama masa pelaksanaan.</w:t>
      </w:r>
    </w:p>
    <w:p>
      <w:pPr>
        <w:pStyle w:val="Heading2"/>
      </w:pPr>
      <w:r>
        <w:rPr>
          <w:rFonts w:ascii="Arial" w:hAnsi="Arial"/>
          <w:color w:val="000000"/>
          <w:sz w:val="24"/>
        </w:rPr>
        <w:t>1.2 Tujuan Dokumen</w:t>
      </w:r>
    </w:p>
    <w:p>
      <w:pPr>
        <w:spacing w:line="360" w:lineRule="auto" w:after="120"/>
      </w:pPr>
      <w:r>
        <w:rPr>
          <w:rFonts w:ascii="Arial" w:hAnsi="Arial"/>
          <w:sz w:val="24"/>
        </w:rPr>
        <w:t>Dokumen ini disusun sebagai acuan teknis, administratif, dan keselamatan kerja bagi Kontraktor dalam melaksanakan pembangunan tangki air. Seluruh aktivitas konstruksi harus memenuhi standar industri migas, persyaratan mutu material, prosedur pengujian, serta ketentuan keamanan area operasi PT PERTAMINA (PERSERO).</w:t>
      </w:r>
    </w:p>
    <w:p>
      <w:pPr>
        <w:pStyle w:val="Heading2"/>
      </w:pPr>
      <w:r>
        <w:rPr>
          <w:rFonts w:ascii="Arial" w:hAnsi="Arial"/>
          <w:color w:val="000000"/>
          <w:sz w:val="24"/>
        </w:rPr>
        <w:t>1.3 Acuan Teknis dan Regulasi</w:t>
      </w:r>
    </w:p>
    <w:p>
      <w:pPr>
        <w:pStyle w:val="ListNumber"/>
      </w:pPr>
      <w:r>
        <w:rPr>
          <w:rFonts w:ascii="Arial" w:hAnsi="Arial"/>
          <w:sz w:val="24"/>
        </w:rPr>
        <w:t>1. Spesifikasi Material dan Fabrikasi sesuai BOQ: ASTM A 283 Grade C, API 5L Grade B, ASME B.16.5, ANSI #150, EN 100025 Grade S 235 JR, dan Hot-Dip Galvanize ASTM 123.</w:t>
      </w:r>
    </w:p>
    <w:p>
      <w:pPr>
        <w:pStyle w:val="ListNumber"/>
      </w:pPr>
      <w:r>
        <w:rPr>
          <w:rFonts w:ascii="Arial" w:hAnsi="Arial"/>
          <w:sz w:val="24"/>
        </w:rPr>
        <w:t>2. Standar Persiapan Permukaan dan Coating: ISO 8501-1 Sa 2.5 / SSPC-SP10 dengan metode Airless Spray System.</w:t>
      </w:r>
    </w:p>
    <w:p>
      <w:pPr>
        <w:pStyle w:val="ListNumber"/>
      </w:pPr>
      <w:r>
        <w:rPr>
          <w:rFonts w:ascii="Arial" w:hAnsi="Arial"/>
          <w:sz w:val="24"/>
        </w:rPr>
        <w:t>3. Ketentuan Keselamatan Kerja Area Operasi Pertambangan Minyak dan Gas Bumi (Permen ESDM terkait HSSE Migas).</w:t>
      </w:r>
    </w:p>
    <w:p>
      <w:pPr>
        <w:pStyle w:val="ListNumber"/>
      </w:pPr>
      <w:r>
        <w:rPr>
          <w:rFonts w:ascii="Arial" w:hAnsi="Arial"/>
          <w:sz w:val="24"/>
        </w:rPr>
        <w:t>4. Pedoman Manajemen Risiko CSMS tingkat HIGH yang mewajibkan pengendalian bahaya kritis secara ketat.</w:t>
      </w:r>
    </w:p>
    <w:p>
      <w:pPr>
        <w:pStyle w:val="ListNumber"/>
      </w:pPr>
      <w:r>
        <w:rPr>
          <w:rFonts w:ascii="Arial" w:hAnsi="Arial"/>
          <w:sz w:val="24"/>
        </w:rPr>
        <w:t>5. Referensi internal PT PERTAMINA (PERSERO) mengenai prosedur keamanan pintu area, penyimpanan material, dan pelaporan dokumentasi.</w:t>
      </w:r>
    </w:p>
    <w:p>
      <w:pPr>
        <w:pStyle w:val="Heading1"/>
      </w:pPr>
      <w:r>
        <w:rPr>
          <w:rFonts w:ascii="Arial" w:hAnsi="Arial"/>
          <w:color w:val="000000"/>
          <w:sz w:val="28"/>
        </w:rPr>
        <w:t>BAB II - SPESIFIKASI MATERIAL DAN STANDAR TEKNIS</w:t>
      </w:r>
    </w:p>
    <w:p>
      <w:pPr>
        <w:pStyle w:val="Heading2"/>
      </w:pPr>
      <w:r>
        <w:rPr>
          <w:rFonts w:ascii="Arial" w:hAnsi="Arial"/>
          <w:color w:val="000000"/>
          <w:sz w:val="24"/>
        </w:rPr>
        <w:t>2.1 Material Struktur Baja dan Fabrikasi</w:t>
      </w:r>
    </w:p>
    <w:p>
      <w:pPr>
        <w:pStyle w:val="ListBullet"/>
      </w:pPr>
      <w:r>
        <w:rPr>
          <w:rFonts w:ascii="Arial" w:hAnsi="Arial"/>
          <w:sz w:val="24"/>
        </w:rPr>
        <w:t>Plat baja utama (shell, bottom, roof) menggunakan spesifikasi ASTM A 283 Grade C dengan ketebalan 4–20 mm sesuai desain engineering.</w:t>
      </w:r>
    </w:p>
    <w:p>
      <w:pPr>
        <w:pStyle w:val="ListBullet"/>
      </w:pPr>
      <w:r>
        <w:rPr>
          <w:rFonts w:ascii="Arial" w:hAnsi="Arial"/>
          <w:sz w:val="24"/>
        </w:rPr>
        <w:t>Profil baja penopang menggunakan UNP.100.50.5, besi siku 70.70.7 dan 40.40.4, serta plat strip sesuai gambar rencana.</w:t>
      </w:r>
    </w:p>
    <w:p>
      <w:pPr>
        <w:pStyle w:val="ListBullet"/>
      </w:pPr>
      <w:r>
        <w:rPr>
          <w:rFonts w:ascii="Arial" w:hAnsi="Arial"/>
          <w:sz w:val="24"/>
        </w:rPr>
        <w:t>Steel grating (Lichtgitter) wajib memenuhi standar EN 100025 Grade S 235 JR dengan perlakuan Hot-Dip Galvanize ASTM 123.</w:t>
      </w:r>
    </w:p>
    <w:p>
      <w:pPr>
        <w:pStyle w:val="ListBullet"/>
      </w:pPr>
      <w:r>
        <w:rPr>
          <w:rFonts w:ascii="Arial" w:hAnsi="Arial"/>
          <w:sz w:val="24"/>
        </w:rPr>
        <w:t>Pipa bantu dan railing menggunakan pipa galvanis Ø1,5" dengan sambungan flange ANSI #150 (ASME B.16.5) atau las menyambung penuh.</w:t>
      </w:r>
    </w:p>
    <w:p>
      <w:pPr>
        <w:pStyle w:val="Heading2"/>
      </w:pPr>
      <w:r>
        <w:rPr>
          <w:rFonts w:ascii="Arial" w:hAnsi="Arial"/>
          <w:color w:val="000000"/>
          <w:sz w:val="24"/>
        </w:rPr>
        <w:t>2.2 Material Sipil dan Pondasi</w:t>
      </w:r>
    </w:p>
    <w:p>
      <w:pPr>
        <w:pStyle w:val="ListBullet"/>
      </w:pPr>
      <w:r>
        <w:rPr>
          <w:rFonts w:ascii="Arial" w:hAnsi="Arial"/>
          <w:sz w:val="24"/>
        </w:rPr>
        <w:t>Tiang pancang menggunakan Spun Pile Ø400 mm dengan mutu beton K450 dan kedalaman tanam 18 meter.</w:t>
      </w:r>
    </w:p>
    <w:p>
      <w:pPr>
        <w:pStyle w:val="ListBullet"/>
      </w:pPr>
      <w:r>
        <w:rPr>
          <w:rFonts w:ascii="Arial" w:hAnsi="Arial"/>
          <w:sz w:val="24"/>
        </w:rPr>
        <w:t>Beton struktur menggunakan ready mix mutu K250 dan K300, sedangkan beton cor manual menggunakan rasio 1:3:5 dan 1:2:3 sesuai kebutuhan elemen sipil.</w:t>
      </w:r>
    </w:p>
    <w:p>
      <w:pPr>
        <w:pStyle w:val="ListBullet"/>
      </w:pPr>
      <w:r>
        <w:rPr>
          <w:rFonts w:ascii="Arial" w:hAnsi="Arial"/>
          <w:sz w:val="24"/>
        </w:rPr>
        <w:t>Urugan pasir pilihan wajib dipadatkan secara mekanis hingga densitas optimal sebelum pemasangan slab dan paving.</w:t>
      </w:r>
    </w:p>
    <w:p>
      <w:pPr>
        <w:pStyle w:val="ListBullet"/>
      </w:pPr>
      <w:r>
        <w:rPr>
          <w:rFonts w:ascii="Arial" w:hAnsi="Arial"/>
          <w:sz w:val="24"/>
        </w:rPr>
        <w:t>Finishing permukaan tanah menggunakan Asphalt ACWC dengan luasan ±110,05 m².</w:t>
      </w:r>
    </w:p>
    <w:p>
      <w:pPr>
        <w:pStyle w:val="Heading2"/>
      </w:pPr>
      <w:r>
        <w:rPr>
          <w:rFonts w:ascii="Arial" w:hAnsi="Arial"/>
          <w:color w:val="000000"/>
          <w:sz w:val="24"/>
        </w:rPr>
        <w:t>2.3 Sistem Pelapisan (Coating)</w:t>
      </w:r>
    </w:p>
    <w:p>
      <w:pPr>
        <w:pStyle w:val="ListNumber"/>
      </w:pPr>
      <w:r>
        <w:rPr>
          <w:rFonts w:ascii="Arial" w:hAnsi="Arial"/>
          <w:sz w:val="24"/>
        </w:rPr>
        <w:t>1. Persiapan permukaan wajib dilakukan Blast Cleaning hingga standar ISO 8501-1 : Sa 2.5 / SSPC-SP10 sebelum aplikasi cat.</w:t>
      </w:r>
    </w:p>
    <w:p>
      <w:pPr>
        <w:pStyle w:val="ListNumber"/>
      </w:pPr>
      <w:r>
        <w:rPr>
          <w:rFonts w:ascii="Arial" w:hAnsi="Arial"/>
          <w:sz w:val="24"/>
        </w:rPr>
        <w:t>2. Aplikasi coating menggunakan metode Airless Spray System dengan ketebalan kering minimum (DFT) 250–275 µm.</w:t>
      </w:r>
    </w:p>
    <w:p>
      <w:pPr>
        <w:pStyle w:val="ListNumber"/>
      </w:pPr>
      <w:r>
        <w:rPr>
          <w:rFonts w:ascii="Arial" w:hAnsi="Arial"/>
          <w:sz w:val="24"/>
        </w:rPr>
        <w:t>3. Zona Interior tangki menggunakan 2 lapis Amine Adduct Epoxy (125 µm/lapis).</w:t>
      </w:r>
    </w:p>
    <w:p>
      <w:pPr>
        <w:pStyle w:val="ListNumber"/>
      </w:pPr>
      <w:r>
        <w:rPr>
          <w:rFonts w:ascii="Arial" w:hAnsi="Arial"/>
          <w:sz w:val="24"/>
        </w:rPr>
        <w:t>4. Zona Eksterior dan Underbottom menggunakan urutan lapisan: Epoxy Primer Grey → Inorganic Zinc Silicate → High Solid Epoxy → Aliphatic Polyurethane.</w:t>
      </w:r>
    </w:p>
    <w:p>
      <w:pPr>
        <w:pStyle w:val="ListNumber"/>
      </w:pPr>
      <w:r>
        <w:rPr>
          <w:rFonts w:ascii="Arial" w:hAnsi="Arial"/>
          <w:sz w:val="24"/>
        </w:rPr>
        <w:t>5. Luasan coating yang harus dikerjakan: Underbottom ±106,46 m², Interior ±667,51 m², Eksterior ±509,93 m², dan Annular Luar ±36,57 m².</w:t>
      </w:r>
    </w:p>
    <w:p>
      <w:pPr>
        <w:pStyle w:val="Heading2"/>
      </w:pPr>
      <w:r>
        <w:rPr>
          <w:rFonts w:ascii="Arial" w:hAnsi="Arial"/>
          <w:color w:val="000000"/>
          <w:sz w:val="24"/>
        </w:rPr>
        <w:t>2.4 Fitting, Katup dan Sistem Earthing</w:t>
      </w:r>
    </w:p>
    <w:p>
      <w:pPr>
        <w:pStyle w:val="ListBullet"/>
      </w:pPr>
      <w:r>
        <w:rPr>
          <w:rFonts w:ascii="Arial" w:hAnsi="Arial"/>
          <w:sz w:val="24"/>
        </w:rPr>
        <w:t>Nozzle dan manhole menggunakan material API 5L Grade B dengan ukuran ø20" (atap), ø24" (shell), ø8" (breather), ø10" (inlet/outlet), ø20" (emergency vent), dan ø4" (drain).</w:t>
      </w:r>
    </w:p>
    <w:p>
      <w:pPr>
        <w:pStyle w:val="ListBullet"/>
      </w:pPr>
      <w:r>
        <w:rPr>
          <w:rFonts w:ascii="Arial" w:hAnsi="Arial"/>
          <w:sz w:val="24"/>
        </w:rPr>
        <w:t>Katup yang dipasang meliputi katup gate 4" (2 unit), katup gate 2" (1 unit), katup ball, katup swing, dan pressure relief valve sesuai diagram P&amp;ID.</w:t>
      </w:r>
    </w:p>
    <w:p>
      <w:pPr>
        <w:pStyle w:val="ListBullet"/>
      </w:pPr>
      <w:r>
        <w:rPr>
          <w:rFonts w:ascii="Arial" w:hAnsi="Arial"/>
          <w:sz w:val="24"/>
        </w:rPr>
        <w:t>Sistem grounding/earthing wajib menggunakan material tembaga/kabel standar industri migas dengan hambatan maksimum 4 Ohm sesuai ketentuan Dirjen Migas.</w:t>
      </w:r>
    </w:p>
    <w:p>
      <w:pPr>
        <w:pStyle w:val="ListBullet"/>
      </w:pPr>
      <w:r>
        <w:rPr>
          <w:rFonts w:ascii="Arial" w:hAnsi="Arial"/>
          <w:sz w:val="24"/>
        </w:rPr>
        <w:t>Seluruh mur-baut dan fastener menggunakan standar industri migas dengan perlindungan anti-korosi.</w:t>
      </w:r>
    </w:p>
    <w:p>
      <w:pPr>
        <w:pStyle w:val="Heading1"/>
      </w:pPr>
      <w:r>
        <w:rPr>
          <w:rFonts w:ascii="Arial" w:hAnsi="Arial"/>
          <w:color w:val="000000"/>
          <w:sz w:val="28"/>
        </w:rPr>
        <w:t>BAB III - METODE PELAKSANAAN PEKERJAAN</w:t>
      </w:r>
    </w:p>
    <w:p>
      <w:pPr>
        <w:pStyle w:val="Heading2"/>
      </w:pPr>
      <w:r>
        <w:rPr>
          <w:rFonts w:ascii="Arial" w:hAnsi="Arial"/>
          <w:color w:val="000000"/>
          <w:sz w:val="24"/>
        </w:rPr>
        <w:t>3.1 Persiapan Lokasi dan Mobilisasi</w:t>
      </w:r>
    </w:p>
    <w:p>
      <w:pPr>
        <w:spacing w:line="360" w:lineRule="auto" w:after="120"/>
      </w:pPr>
      <w:r>
        <w:rPr>
          <w:rFonts w:ascii="Arial" w:hAnsi="Arial"/>
          <w:sz w:val="24"/>
        </w:rPr>
        <w:t>Kontraktor wajib menyiapkan direksi kit berupa kontainer kantor dan gudang, melakukan survei engineering dan penyusunan shop drawing, serta menyediakan fasilitas HSSE dan sewa scaffolding. Seluruh mobilisasi dan demobilisasi tenaga kerja, alat berat, dan material harus melalui pemeriksaan security (Pintu-III untuk Kilang/Pintu VIII untuk Terminal) dengan membawa surat pengantar resmi. Kontraktor juga wajib menyediakan tempat penyimpanan bahan/material di tapak yang aman dari kerusakan, kehilangan, dan gangguan operasional lain.</w:t>
      </w:r>
    </w:p>
    <w:p>
      <w:pPr>
        <w:pStyle w:val="Heading2"/>
      </w:pPr>
      <w:r>
        <w:rPr>
          <w:rFonts w:ascii="Arial" w:hAnsi="Arial"/>
          <w:color w:val="000000"/>
          <w:sz w:val="24"/>
        </w:rPr>
        <w:t>3.2 Pekerjaan Pondasi dan Sipil</w:t>
      </w:r>
    </w:p>
    <w:p>
      <w:pPr>
        <w:pStyle w:val="ListNumber"/>
      </w:pPr>
      <w:r>
        <w:rPr>
          <w:rFonts w:ascii="Arial" w:hAnsi="Arial"/>
          <w:sz w:val="24"/>
        </w:rPr>
        <w:t>1. Pemancangan spun pile Ø400 mm sebanyak 25 titik dengan kedalaman 18 m, dilanjutkan pemotongan tiang dan penyambungan sesuai elevasi design.</w:t>
      </w:r>
    </w:p>
    <w:p>
      <w:pPr>
        <w:pStyle w:val="ListNumber"/>
      </w:pPr>
      <w:r>
        <w:rPr>
          <w:rFonts w:ascii="Arial" w:hAnsi="Arial"/>
          <w:sz w:val="24"/>
        </w:rPr>
        <w:t>2. Pembuatan rabat terusan berukuran 0,6 x 0,6 x 2,4 m untuk mengunci ujung tiang pancang.</w:t>
      </w:r>
    </w:p>
    <w:p>
      <w:pPr>
        <w:pStyle w:val="ListNumber"/>
      </w:pPr>
      <w:r>
        <w:rPr>
          <w:rFonts w:ascii="Arial" w:hAnsi="Arial"/>
          <w:sz w:val="24"/>
        </w:rPr>
        <w:t>3. Galian pondasi volume ±146,92 m³, diikuti urugan pasir padatan volume ±720,96 m³ yang dipadatkan secara mekanis.</w:t>
      </w:r>
    </w:p>
    <w:p>
      <w:pPr>
        <w:pStyle w:val="ListNumber"/>
      </w:pPr>
      <w:r>
        <w:rPr>
          <w:rFonts w:ascii="Arial" w:hAnsi="Arial"/>
          <w:sz w:val="24"/>
        </w:rPr>
        <w:t>4. Pengecoran lantai kerja, poer, dan slab beton total volume ±94,27 m³. Pembesian untuk beton struktur harus disesuaikan dengan gambar rencana dan pengecoran hanya dapat dilaksanakan atas persetujuan direksi/pengawas.</w:t>
      </w:r>
    </w:p>
    <w:p>
      <w:pPr>
        <w:pStyle w:val="ListNumber"/>
      </w:pPr>
      <w:r>
        <w:rPr>
          <w:rFonts w:ascii="Arial" w:hAnsi="Arial"/>
          <w:sz w:val="24"/>
        </w:rPr>
        <w:t>5. Finishing permukaan dengan paving asphalt ACWC luasan ±110,05 m².</w:t>
      </w:r>
    </w:p>
    <w:p>
      <w:pPr>
        <w:pStyle w:val="Heading2"/>
      </w:pPr>
      <w:r>
        <w:rPr>
          <w:rFonts w:ascii="Arial" w:hAnsi="Arial"/>
          <w:color w:val="000000"/>
          <w:sz w:val="24"/>
        </w:rPr>
        <w:t>3.3 Fabrikasi dan Erection Tangki</w:t>
      </w:r>
    </w:p>
    <w:p>
      <w:pPr>
        <w:pStyle w:val="ListNumber"/>
      </w:pPr>
      <w:r>
        <w:rPr>
          <w:rFonts w:ascii="Arial" w:hAnsi="Arial"/>
          <w:sz w:val="24"/>
        </w:rPr>
        <w:t>1. Pengerollan, pemotongan, dan penyetelan plat baja shell (6 ring, tebal 6 mm, ±18.900 kg), bottom (8 mm, ±8.400 kg), dan roof (6 mm, ±6.300 kg).</w:t>
      </w:r>
    </w:p>
    <w:p>
      <w:pPr>
        <w:pStyle w:val="ListNumber"/>
      </w:pPr>
      <w:r>
        <w:rPr>
          <w:rFonts w:ascii="Arial" w:hAnsi="Arial"/>
          <w:sz w:val="24"/>
        </w:rPr>
        <w:t>2. Proses pengelasan plat mengikuti prosedur WPS/PQR yang telah disetujui, dengan inspeksi visual dan NDT jika diperlukan.</w:t>
      </w:r>
    </w:p>
    <w:p>
      <w:pPr>
        <w:pStyle w:val="ListNumber"/>
      </w:pPr>
      <w:r>
        <w:rPr>
          <w:rFonts w:ascii="Arial" w:hAnsi="Arial"/>
          <w:sz w:val="24"/>
        </w:rPr>
        <w:t>3. Sewa crane darat 25 ton digunakan untuk proses lifting dan pemasangan komponen tangki agar menghindari beban statis berlebih pada struktur sementara.</w:t>
      </w:r>
    </w:p>
    <w:p>
      <w:pPr>
        <w:pStyle w:val="ListNumber"/>
      </w:pPr>
      <w:r>
        <w:rPr>
          <w:rFonts w:ascii="Arial" w:hAnsi="Arial"/>
          <w:sz w:val="24"/>
        </w:rPr>
        <w:t>4. Pemasangan rangka atap, tangga darurat, handrail (dalam &amp; luar), platform walkway, splash plate, dan steel grating dilakukan setelah shell terpasang kokoh.</w:t>
      </w:r>
    </w:p>
    <w:p>
      <w:pPr>
        <w:pStyle w:val="Heading2"/>
      </w:pPr>
      <w:r>
        <w:rPr>
          <w:rFonts w:ascii="Arial" w:hAnsi="Arial"/>
          <w:color w:val="000000"/>
          <w:sz w:val="24"/>
        </w:rPr>
        <w:t>3.4 Instalasi Fitting dan Perpipuan Bantu</w:t>
      </w:r>
    </w:p>
    <w:p>
      <w:pPr>
        <w:pStyle w:val="ListBullet"/>
      </w:pPr>
      <w:r>
        <w:rPr>
          <w:rFonts w:ascii="Arial" w:hAnsi="Arial"/>
          <w:sz w:val="24"/>
        </w:rPr>
        <w:t>Pemasangan manhole, nozzle, flange, elbow, tee, dan katup sesuai layout P&amp;ID dengan torching dan pengelasan bertahap.</w:t>
      </w:r>
    </w:p>
    <w:p>
      <w:pPr>
        <w:pStyle w:val="ListBullet"/>
      </w:pPr>
      <w:r>
        <w:rPr>
          <w:rFonts w:ascii="Arial" w:hAnsi="Arial"/>
          <w:sz w:val="24"/>
        </w:rPr>
        <w:t>Instalasi perpipuan bantu Ø1,5" sepanjang ±18 m untuk sistem drainase, breather, dan emergency vent.</w:t>
      </w:r>
    </w:p>
    <w:p>
      <w:pPr>
        <w:pStyle w:val="ListBullet"/>
      </w:pPr>
      <w:r>
        <w:rPr>
          <w:rFonts w:ascii="Arial" w:hAnsi="Arial"/>
          <w:sz w:val="24"/>
        </w:rPr>
        <w:t>Pemasangan sistem earthing/grounding jaringan ke seluruh struktur baja dan peralatan listrik pendukung.</w:t>
      </w:r>
    </w:p>
    <w:p>
      <w:pPr>
        <w:pStyle w:val="ListBullet"/>
      </w:pPr>
      <w:r>
        <w:rPr>
          <w:rFonts w:ascii="Arial" w:hAnsi="Arial"/>
          <w:sz w:val="24"/>
        </w:rPr>
        <w:t>Selama pelaksanaan pekerjaan, KONTRAKTOR harus selalu koordinasi dengan Pengawas PERUSAHAAN yang bersangkutan untuk memastikan alignment dan integritas instalasi.</w:t>
      </w:r>
    </w:p>
    <w:p>
      <w:pPr>
        <w:pStyle w:val="Heading1"/>
      </w:pPr>
      <w:r>
        <w:rPr>
          <w:rFonts w:ascii="Arial" w:hAnsi="Arial"/>
          <w:color w:val="000000"/>
          <w:sz w:val="28"/>
        </w:rPr>
        <w:t>BAB IV - PENGECEKAN, PENGUJIAN DAN JAMINAN MUTU</w:t>
      </w:r>
    </w:p>
    <w:p>
      <w:pPr>
        <w:pStyle w:val="Heading2"/>
      </w:pPr>
      <w:r>
        <w:rPr>
          <w:rFonts w:ascii="Arial" w:hAnsi="Arial"/>
          <w:color w:val="000000"/>
          <w:sz w:val="24"/>
        </w:rPr>
        <w:t>4.1 Inspeksi Material dan Persiapan Permukaan</w:t>
      </w:r>
    </w:p>
    <w:p>
      <w:pPr>
        <w:pStyle w:val="ListNumber"/>
      </w:pPr>
      <w:r>
        <w:rPr>
          <w:rFonts w:ascii="Arial" w:hAnsi="Arial"/>
          <w:sz w:val="24"/>
        </w:rPr>
        <w:t>1. Semua material wajib dilengkapi Material Approval Certificate (MTC/Mill Test Report) sebelum masuk ke area proyek.</w:t>
      </w:r>
    </w:p>
    <w:p>
      <w:pPr>
        <w:pStyle w:val="ListNumber"/>
      </w:pPr>
      <w:r>
        <w:rPr>
          <w:rFonts w:ascii="Arial" w:hAnsi="Arial"/>
          <w:sz w:val="24"/>
        </w:rPr>
        <w:t>2. Verifikasi blast cleaning dilakukan oleh inspector bersertifikat NACE/SSPC untuk memastikan pencapaian standar Sa 2.5 / SSPC-SP10.</w:t>
      </w:r>
    </w:p>
    <w:p>
      <w:pPr>
        <w:pStyle w:val="ListNumber"/>
      </w:pPr>
      <w:r>
        <w:rPr>
          <w:rFonts w:ascii="Arial" w:hAnsi="Arial"/>
          <w:sz w:val="24"/>
        </w:rPr>
        <w:t>3. Pengukuran roughness profile permukaan wajib memenuhi batas toleransi aplikasi coating yang ditentukan pabrik cat.</w:t>
      </w:r>
    </w:p>
    <w:p>
      <w:pPr>
        <w:pStyle w:val="ListNumber"/>
      </w:pPr>
      <w:r>
        <w:rPr>
          <w:rFonts w:ascii="Arial" w:hAnsi="Arial"/>
          <w:sz w:val="24"/>
        </w:rPr>
        <w:t>4. Dokumentasi hasil inspeksi awal wajib diserahkan ke PERUSAHAAN (MA 3, SSIE dan Equip. OH) dalam 3 copy.</w:t>
      </w:r>
    </w:p>
    <w:p>
      <w:pPr>
        <w:pStyle w:val="Heading2"/>
      </w:pPr>
      <w:r>
        <w:rPr>
          <w:rFonts w:ascii="Arial" w:hAnsi="Arial"/>
          <w:color w:val="000000"/>
          <w:sz w:val="24"/>
        </w:rPr>
        <w:t>4.2 Pengujian Coating dan Ketebalan Lapisan</w:t>
      </w:r>
    </w:p>
    <w:p>
      <w:pPr>
        <w:pStyle w:val="ListBullet"/>
      </w:pPr>
      <w:r>
        <w:rPr>
          <w:rFonts w:ascii="Arial" w:hAnsi="Arial"/>
          <w:sz w:val="24"/>
        </w:rPr>
        <w:t>Pengukuran DFT (Dry Film Thickness) menggunakan magnetic gauge setiap 5 m² dengan minimal 3 titik pengukuran per area.</w:t>
      </w:r>
    </w:p>
    <w:p>
      <w:pPr>
        <w:pStyle w:val="ListBullet"/>
      </w:pPr>
      <w:r>
        <w:rPr>
          <w:rFonts w:ascii="Arial" w:hAnsi="Arial"/>
          <w:sz w:val="24"/>
        </w:rPr>
        <w:t>Ketebalan minimum coating ditetapkan 250–275 µm. Jika ditemukan area di bawah toleransi, wajib dilakukan touch-up coating tanpa menambah jumlah lapisan melebihi spesifikasi.</w:t>
      </w:r>
    </w:p>
    <w:p>
      <w:pPr>
        <w:pStyle w:val="ListBullet"/>
      </w:pPr>
      <w:r>
        <w:rPr>
          <w:rFonts w:ascii="Arial" w:hAnsi="Arial"/>
          <w:sz w:val="24"/>
        </w:rPr>
        <w:t>Adhesion test dilakukan secara random sesuai standar ASTM D4541 atau ISO 4624.</w:t>
      </w:r>
    </w:p>
    <w:p>
      <w:pPr>
        <w:pStyle w:val="ListBullet"/>
      </w:pPr>
      <w:r>
        <w:rPr>
          <w:rFonts w:ascii="Arial" w:hAnsi="Arial"/>
          <w:sz w:val="24"/>
        </w:rPr>
        <w:t>Inspeksi coating akhir harus mendapatkan sign-off dari Quality Control Perusahaan sebelum tangki dikategorikan siap uji hidrotest.</w:t>
      </w:r>
    </w:p>
    <w:p>
      <w:pPr>
        <w:pStyle w:val="Heading2"/>
      </w:pPr>
      <w:r>
        <w:rPr>
          <w:rFonts w:ascii="Arial" w:hAnsi="Arial"/>
          <w:color w:val="000000"/>
          <w:sz w:val="24"/>
        </w:rPr>
        <w:t>4.3 Uji Hidrotest dan Sistem Earthing</w:t>
      </w:r>
    </w:p>
    <w:p>
      <w:pPr>
        <w:pStyle w:val="ListNumber"/>
      </w:pPr>
      <w:r>
        <w:rPr>
          <w:rFonts w:ascii="Arial" w:hAnsi="Arial"/>
          <w:sz w:val="24"/>
        </w:rPr>
        <w:t>1. Kontraktor wajib menyediakan pompa hidrotest dan peralatan monitoring tekanan sesuai prosedur pengisian air bertahap.</w:t>
      </w:r>
    </w:p>
    <w:p>
      <w:pPr>
        <w:pStyle w:val="ListNumber"/>
      </w:pPr>
      <w:r>
        <w:rPr>
          <w:rFonts w:ascii="Arial" w:hAnsi="Arial"/>
          <w:sz w:val="24"/>
        </w:rPr>
        <w:t>2. Uji hidrotest dilakukan dengan mengisi tangki hingga ketinggian desain, menjaga tekanan stabil selama minimal 24 jam, dan memeriksa kebocoran pada sambungan las, flange, dan manhole.</w:t>
      </w:r>
    </w:p>
    <w:p>
      <w:pPr>
        <w:pStyle w:val="ListNumber"/>
      </w:pPr>
      <w:r>
        <w:rPr>
          <w:rFonts w:ascii="Arial" w:hAnsi="Arial"/>
          <w:sz w:val="24"/>
        </w:rPr>
        <w:t>3. Sistem grounding/earthing diukur menggunakan earth tester dengan nilai hambatan maksimal 4 Ohm. Jika melebihi batas, elektroda tambahan wajib dipasang hingga memenuhi syarat Dirjen Migas.</w:t>
      </w:r>
    </w:p>
    <w:p>
      <w:pPr>
        <w:pStyle w:val="ListNumber"/>
      </w:pPr>
      <w:r>
        <w:rPr>
          <w:rFonts w:ascii="Arial" w:hAnsi="Arial"/>
          <w:sz w:val="24"/>
        </w:rPr>
        <w:t>4. Laporan hasil uji hidrotest dan grounding test ditandatangani bersama oleh Kontraktor, Konsultan Pengawas, dan Perwakilan Perusahaan.</w:t>
      </w:r>
    </w:p>
    <w:p>
      <w:pPr>
        <w:pStyle w:val="Heading2"/>
      </w:pPr>
      <w:r>
        <w:rPr>
          <w:rFonts w:ascii="Arial" w:hAnsi="Arial"/>
          <w:color w:val="000000"/>
          <w:sz w:val="24"/>
        </w:rPr>
        <w:t>4.4 Koordinasi Lapangan dan Pengawasan Mutu</w:t>
      </w:r>
    </w:p>
    <w:p>
      <w:pPr>
        <w:spacing w:line="360" w:lineRule="auto" w:after="120"/>
      </w:pPr>
      <w:r>
        <w:rPr>
          <w:rFonts w:ascii="Arial" w:hAnsi="Arial"/>
          <w:sz w:val="24"/>
        </w:rPr>
        <w:t>Seluruh tahapan pekerjaan, khususnya pembesian beton dan pengecoran, harus mendapat persetujuan tertulis direksi/pengawas sebelum eksekusi. Kontraktor wajib selalu berkoordinasi dengan Pengawas PERUSAHAAN yang bersangkutan untuk memastikan kesesuaian antara gambar rencana, kondisi lapangan, dan standar mutu. Setiap temuan non-konformitas harus segera dilaporkan dan diperbaiki dalam waktu yang ditetapkan tanpa mengganggu jadwal progres utama.</w:t>
      </w:r>
    </w:p>
    <w:p>
      <w:pPr>
        <w:pStyle w:val="Heading1"/>
      </w:pPr>
      <w:r>
        <w:rPr>
          <w:rFonts w:ascii="Arial" w:hAnsi="Arial"/>
          <w:color w:val="000000"/>
          <w:sz w:val="28"/>
        </w:rPr>
        <w:t>BAB V - ADMINISTRASI, DOKUMENTASI DAN KESELAMATAN KERJA</w:t>
      </w:r>
    </w:p>
    <w:p>
      <w:pPr>
        <w:pStyle w:val="Heading2"/>
      </w:pPr>
      <w:r>
        <w:rPr>
          <w:rFonts w:ascii="Arial" w:hAnsi="Arial"/>
          <w:color w:val="000000"/>
          <w:sz w:val="24"/>
        </w:rPr>
        <w:t>5.1 Penyusunan Dokumentasi Teknis</w:t>
      </w:r>
    </w:p>
    <w:p>
      <w:pPr>
        <w:pStyle w:val="ListNumber"/>
      </w:pPr>
      <w:r>
        <w:rPr>
          <w:rFonts w:ascii="Arial" w:hAnsi="Arial"/>
          <w:sz w:val="24"/>
        </w:rPr>
        <w:t>1. Kontraktor diwajibkan menyiapkan/mengumpulkan dokumen-dokumen yang berkaitan dengan pekerjaan saat pelaksanaan pekerjaan dan setelah pekerjaan selesai (dibuat 3 copy/disserahkan ke PERUSAHAAN).</w:t>
      </w:r>
    </w:p>
    <w:p>
      <w:pPr>
        <w:pStyle w:val="ListNumber"/>
      </w:pPr>
      <w:r>
        <w:rPr>
          <w:rFonts w:ascii="Arial" w:hAnsi="Arial"/>
          <w:sz w:val="24"/>
        </w:rPr>
        <w:t>2. Penyusunan Shop Drawing harus diselesaikan minimal 4 minggu sebelum mulai fabrikasi untuk mendapatkan persetujuan teknik.</w:t>
      </w:r>
    </w:p>
    <w:p>
      <w:pPr>
        <w:pStyle w:val="ListNumber"/>
      </w:pPr>
      <w:r>
        <w:rPr>
          <w:rFonts w:ascii="Arial" w:hAnsi="Arial"/>
          <w:sz w:val="24"/>
        </w:rPr>
        <w:t>3. As-Built Drawing wajib diserahkan lengkap setelah pekerjaan selesai dan menjadi syarat utama pembayaran termin akhir.</w:t>
      </w:r>
    </w:p>
    <w:p>
      <w:pPr>
        <w:pStyle w:val="ListNumber"/>
      </w:pPr>
      <w:r>
        <w:rPr>
          <w:rFonts w:ascii="Arial" w:hAnsi="Arial"/>
          <w:sz w:val="24"/>
        </w:rPr>
        <w:t>4. Standby drafter wajib tersedia di lokasi selama 8 bulan masa proyek untuk mendukung revisi gambar dan pencatatan perubahan lapangan secara real-time.</w:t>
      </w:r>
    </w:p>
    <w:p>
      <w:pPr>
        <w:pStyle w:val="ListNumber"/>
      </w:pPr>
      <w:r>
        <w:rPr>
          <w:rFonts w:ascii="Arial" w:hAnsi="Arial"/>
          <w:sz w:val="24"/>
        </w:rPr>
        <w:t>5. Laporan bulanan berisi progres fisik, keuangan, kendala, dan rencana tindak lanjut harus diserahkan tepat waktu.</w:t>
      </w:r>
    </w:p>
    <w:p>
      <w:pPr>
        <w:pStyle w:val="Heading2"/>
      </w:pPr>
      <w:r>
        <w:rPr>
          <w:rFonts w:ascii="Arial" w:hAnsi="Arial"/>
          <w:color w:val="000000"/>
          <w:sz w:val="24"/>
        </w:rPr>
        <w:t>5.2 Keselamatan, Kesehatan dan Lingkungan (HSSE)</w:t>
      </w:r>
    </w:p>
    <w:p>
      <w:pPr>
        <w:pStyle w:val="ListBullet"/>
      </w:pPr>
      <w:r>
        <w:rPr>
          <w:rFonts w:ascii="Arial" w:hAnsi="Arial"/>
          <w:sz w:val="24"/>
        </w:rPr>
        <w:t>Mengingat risiko CSMS bertingkat HIGH, Kontraktor wajib menunjuk Safety Man bersertifikat yang bertugas memantau seluruh aktivitas kerja harian.</w:t>
      </w:r>
    </w:p>
    <w:p>
      <w:pPr>
        <w:pStyle w:val="ListBullet"/>
      </w:pPr>
      <w:r>
        <w:rPr>
          <w:rFonts w:ascii="Arial" w:hAnsi="Arial"/>
          <w:sz w:val="24"/>
        </w:rPr>
        <w:t>Seluruh pekerja wajib menggunakan APD lengkap (helm, sepatu safety, kacamata, sarung tangan, harness untuk kerja di ketinggian).</w:t>
      </w:r>
    </w:p>
    <w:p>
      <w:pPr>
        <w:pStyle w:val="ListBullet"/>
      </w:pPr>
      <w:r>
        <w:rPr>
          <w:rFonts w:ascii="Arial" w:hAnsi="Arial"/>
          <w:sz w:val="24"/>
        </w:rPr>
        <w:t>Penyediaan Fire Blanket dan alat pemadam api ringan (APAR) wajib ada di setiap titik pengelasan, grinding, dan area kerja panas.</w:t>
      </w:r>
    </w:p>
    <w:p>
      <w:pPr>
        <w:pStyle w:val="ListBullet"/>
      </w:pPr>
      <w:r>
        <w:rPr>
          <w:rFonts w:ascii="Arial" w:hAnsi="Arial"/>
          <w:sz w:val="24"/>
        </w:rPr>
        <w:t>Pelaksanaan kerja panas (hot work) wajib mengeluarkan izin kerja (Work Permit) dan melakukan gas testing sebelum memulai aktivitas.</w:t>
      </w:r>
    </w:p>
    <w:p>
      <w:pPr>
        <w:pStyle w:val="ListBullet"/>
      </w:pPr>
      <w:r>
        <w:rPr>
          <w:rFonts w:ascii="Arial" w:hAnsi="Arial"/>
          <w:sz w:val="24"/>
        </w:rPr>
        <w:t>Semua sarana dan peralatan yang digunakan harus benar-benar baik dan memenuhi persyaratan kerja, sehingga kelancaran dan kemudahan pelaksanaan pekerjaan di tapak dapat tercapai.</w:t>
      </w:r>
    </w:p>
    <w:p>
      <w:pPr>
        <w:pStyle w:val="Heading2"/>
      </w:pPr>
      <w:r>
        <w:rPr>
          <w:rFonts w:ascii="Arial" w:hAnsi="Arial"/>
          <w:color w:val="000000"/>
          <w:sz w:val="24"/>
        </w:rPr>
        <w:t>5.3 Administrasi Keamanan dan Logistik Tapak</w:t>
      </w:r>
    </w:p>
    <w:p>
      <w:pPr>
        <w:spacing w:line="360" w:lineRule="auto" w:after="120"/>
      </w:pPr>
      <w:r>
        <w:rPr>
          <w:rFonts w:ascii="Arial" w:hAnsi="Arial"/>
          <w:sz w:val="24"/>
        </w:rPr>
        <w:t>Setiap material dan peralatan yang masuk ke dan keluar dari area PERUSAHAAN harus memiliki surat pengantar resmi dan melalui pemeriksaan Sekurity (Pintu-III untuk Kilang dan Pintu VIII untuk Terminal). Kontraktor bertanggung jawab penuh atas keamanan barang, pencegahan pencurian, dan pengelolaan limbah konstruksi sesuai regulasi lingkungan. Penyimpanan material di area proyek harus rapi, teridentifikasi, dan terpisah dari jalur lalu lintas operasional terminal.</w:t>
      </w:r>
    </w:p>
    <w:p>
      <w:pPr>
        <w:pStyle w:val="Heading2"/>
      </w:pPr>
      <w:r>
        <w:rPr>
          <w:rFonts w:ascii="Arial" w:hAnsi="Arial"/>
          <w:color w:val="000000"/>
          <w:sz w:val="24"/>
        </w:rPr>
        <w:t>5.4 Struktur Organisasi dan Jadwal Pelaksanaan</w:t>
      </w:r>
    </w:p>
    <w:p>
      <w:pPr>
        <w:pStyle w:val="ListNumber"/>
      </w:pPr>
      <w:r>
        <w:rPr>
          <w:rFonts w:ascii="Arial" w:hAnsi="Arial"/>
          <w:sz w:val="24"/>
        </w:rPr>
        <w:t>1. Kontraktor wajib menyusun Daftar Struktur Organisasi yang meliputi nama, jabatan, dan keahlian masing-masing anggota pelaksana pekerjaan.</w:t>
      </w:r>
    </w:p>
    <w:p>
      <w:pPr>
        <w:pStyle w:val="ListNumber"/>
      </w:pPr>
      <w:r>
        <w:rPr>
          <w:rFonts w:ascii="Arial" w:hAnsi="Arial"/>
          <w:sz w:val="24"/>
        </w:rPr>
        <w:t>2. Penyampaian Jadwal pengadaan Tenaga Kerja dan Jadwal pengadaan bahan/material harus selaras dengan milestone proyek.</w:t>
      </w:r>
    </w:p>
    <w:p>
      <w:pPr>
        <w:pStyle w:val="ListNumber"/>
      </w:pPr>
      <w:r>
        <w:rPr>
          <w:rFonts w:ascii="Arial" w:hAnsi="Arial"/>
          <w:sz w:val="24"/>
        </w:rPr>
        <w:t>3. Inventarisasi peralatan yang digunakan dalam melaksanakan pekerjaan ini wajib didaftarkan dan diverifikasi kelayakannya sebelum mobilisasi.</w:t>
      </w:r>
    </w:p>
    <w:p>
      <w:pPr>
        <w:pStyle w:val="ListNumber"/>
      </w:pPr>
      <w:r>
        <w:rPr>
          <w:rFonts w:ascii="Arial" w:hAnsi="Arial"/>
          <w:sz w:val="24"/>
        </w:rPr>
        <w:t>4. Identifikasi tempat kerja dan hazard analysis (JSA/TRA) harus dipublikasikan kepada seluruh kru sebelum pekerjaan dimulai.</w:t>
      </w:r>
    </w:p>
    <w:p>
      <w:pPr>
        <w:pStyle w:val="ListNumber"/>
      </w:pPr>
      <w:r>
        <w:rPr>
          <w:rFonts w:ascii="Arial" w:hAnsi="Arial"/>
          <w:sz w:val="24"/>
        </w:rPr>
        <w:t>5. Putus kontrak secara sepihak akan diterapkan sesuai dengan aturan yang berlaku dalam surat kontrak yang ditandatangani para PIHAK apabila Kontraktor gagal memenuhi kewajiban teknis, administratif, atau keselamatan kerja.</w:t>
      </w:r>
    </w:p>
    <w:sectPr w:rsidR="00FC693F" w:rsidRPr="0006063C" w:rsidSect="00034616">
      <w:headerReference w:type="default" r:id="rId10"/>
      <w:footerReference w:type="default" r:id="rId11"/>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rPr>
        <w:rFonts w:ascii="Arial" w:hAnsi="Arial"/>
        <w:sz w:val="16"/>
      </w:rPr>
      <w:t xml:space="preserve">No. Dok: RKS-98821-2026  |  </w:t>
    </w:r>
    <w:r>
      <w:rPr>
        <w:rFonts w:ascii="Arial" w:hAnsi="Arial"/>
        <w:sz w:val="16"/>
      </w:rPr>
      <w:t xml:space="preserve">Hal.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drawing>
        <wp:inline xmlns:a="http://schemas.openxmlformats.org/drawingml/2006/main" xmlns:pic="http://schemas.openxmlformats.org/drawingml/2006/picture">
          <wp:extent cx="1851429" cy="432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1"/>
                  <a:stretch>
                    <a:fillRect/>
                  </a:stretch>
                </pic:blipFill>
                <pic:spPr>
                  <a:xfrm>
                    <a:off x="0" y="0"/>
                    <a:ext cx="1851429" cy="432000"/>
                  </a:xfrm>
                  <a:prstGeom prst="rect"/>
                </pic:spPr>
              </pic:pic>
            </a:graphicData>
          </a:graphic>
        </wp:inline>
      </w:drawing>
    </w:r>
    <w:r>
      <w:t xml:space="preserve">  </w:t>
    </w:r>
    <w:r>
      <w:rPr>
        <w:rFonts w:ascii="Arial" w:hAnsi="Arial"/>
        <w:b/>
        <w:sz w:val="18"/>
      </w:rPr>
      <w:t>PT PERTAMINA (PERSERO)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