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tbl>
      <w:tblPr>
        <w:tblW w:type="auto" w:w="0"/>
        <w:jc w:val="center"/>
        <w:tblLook w:firstColumn="1" w:firstRow="1" w:lastColumn="0" w:lastRow="0" w:noHBand="0" w:noVBand="1" w:val="04A0"/>
      </w:tblPr>
      <w:tblGrid>
        <w:gridCol w:w="9122"/>
      </w:tblGrid>
      <w:tr>
        <w:tc>
          <w:tcPr>
            <w:tcW w:type="dxa" w:w="9122"/>
            <w:tcBorders>
              <w:top w:val="single" w:sz="8" w:space="0" w:color="000000"/>
              <w:bottom w:val="single" w:sz="8" w:space="0" w:color="000000"/>
              <w:left w:val="single" w:sz="8" w:space="0" w:color="000000"/>
              <w:right w:val="single" w:sz="8" w:space="0" w:color="000000"/>
            </w:tcBorders>
          </w:tcPr>
          <w:p>
            <w:pPr>
              <w:jc w:val="center"/>
            </w:pPr>
            <w:r>
              <w:rPr>
                <w:rFonts w:ascii="Arial" w:hAnsi="Arial"/>
                <w:b/>
                <w:sz w:val="32"/>
              </w:rPr>
              <w:t>RENCANA KERJA DAN SYARAT-SYARAT</w:t>
              <w:br/>
              <w:t>(RKS)</w:t>
            </w:r>
          </w:p>
        </w:tc>
      </w:tr>
    </w:tbl>
    <w:p/>
    <w:tbl>
      <w:tblPr>
        <w:tblW w:type="auto" w:w="0"/>
        <w:jc w:val="center"/>
        <w:tblLook w:firstColumn="1" w:firstRow="1" w:lastColumn="0" w:lastRow="0" w:noHBand="0" w:noVBand="1" w:val="04A0"/>
      </w:tblPr>
      <w:tblGrid>
        <w:gridCol w:w="9122"/>
      </w:tblGrid>
      <w:tr>
        <w:tc>
          <w:tcPr>
            <w:tcW w:type="dxa" w:w="9122"/>
            <w:tcBorders>
              <w:top w:val="single" w:sz="8" w:space="0" w:color="000000"/>
              <w:bottom w:val="single" w:sz="8" w:space="0" w:color="000000"/>
              <w:left w:val="single" w:sz="8" w:space="0" w:color="000000"/>
              <w:right w:val="single" w:sz="8" w:space="0" w:color="000000"/>
            </w:tcBorders>
          </w:tcPr>
          <w:p>
            <w:pPr>
              <w:jc w:val="center"/>
            </w:pPr>
            <w:r>
              <w:rPr>
                <w:rFonts w:ascii="Arial" w:hAnsi="Arial"/>
                <w:b/>
                <w:sz w:val="24"/>
              </w:rPr>
              <w:t>Pembangunan Tangki Air Kapasitas 1.000 KL</w:t>
            </w:r>
          </w:p>
        </w:tc>
      </w:tr>
    </w:tbl>
    <w:p/>
    <w:p>
      <w:pPr>
        <w:spacing w:before="240" w:after="240"/>
        <w:jc w:val="center"/>
      </w:pPr>
      <w:r>
        <w:rPr>
          <w:rFonts w:ascii="Arial" w:hAnsi="Arial"/>
          <w:b/>
          <w:sz w:val="24"/>
        </w:rPr>
        <w:t>Bidder List No: ______________________________</w:t>
      </w:r>
    </w:p>
    <w:p>
      <w:pPr>
        <w:spacing w:before="240" w:after="120"/>
        <w:jc w:val="center"/>
      </w:pPr>
      <w:r>
        <w:rPr>
          <w:rFonts w:ascii="Arial" w:hAnsi="Arial"/>
          <w:b/>
          <w:sz w:val="24"/>
        </w:rPr>
        <w:t>RESIKO PEKERJAAN (ASPEK CSMS):</w:t>
      </w:r>
    </w:p>
    <w:p>
      <w:pPr>
        <w:spacing w:before="0" w:after="360"/>
        <w:jc w:val="center"/>
      </w:pPr>
      <w:r>
        <w:rPr>
          <w:rFonts w:ascii="Arial" w:hAnsi="Arial"/>
          <w:b/>
          <w:sz w:val="24"/>
        </w:rPr>
        <w:t>☑ HIGH     ☐ MIDDLE     ☐ LOW</w:t>
      </w:r>
    </w:p>
    <w:p>
      <w:pPr>
        <w:jc w:val="center"/>
      </w:pPr>
      <w:r>
        <w:drawing>
          <wp:inline xmlns:a="http://schemas.openxmlformats.org/drawingml/2006/main" xmlns:pic="http://schemas.openxmlformats.org/drawingml/2006/picture">
            <wp:extent cx="1800000" cy="420000"/>
            <wp:docPr id="1" name="Picture 1"/>
            <wp:cNvGraphicFramePr>
              <a:graphicFrameLocks noChangeAspect="1"/>
            </wp:cNvGraphicFramePr>
            <a:graphic>
              <a:graphicData uri="http://schemas.openxmlformats.org/drawingml/2006/picture">
                <pic:pic>
                  <pic:nvPicPr>
                    <pic:cNvPr id="0" name="logo_pertamina.png"/>
                    <pic:cNvPicPr/>
                  </pic:nvPicPr>
                  <pic:blipFill>
                    <a:blip r:embed="rId9"/>
                    <a:stretch>
                      <a:fillRect/>
                    </a:stretch>
                  </pic:blipFill>
                  <pic:spPr>
                    <a:xfrm>
                      <a:off x="0" y="0"/>
                      <a:ext cx="1800000" cy="420000"/>
                    </a:xfrm>
                    <a:prstGeom prst="rect"/>
                  </pic:spPr>
                </pic:pic>
              </a:graphicData>
            </a:graphic>
          </wp:inline>
        </w:drawing>
      </w:r>
    </w:p>
    <w:p>
      <w:pPr>
        <w:spacing w:before="240" w:after="240"/>
      </w:pPr>
    </w:p>
    <w:p>
      <w:pPr>
        <w:spacing w:before="240" w:after="240"/>
      </w:pPr>
    </w:p>
    <w:p>
      <w:pPr>
        <w:spacing w:before="240" w:after="240"/>
      </w:pPr>
    </w:p>
    <w:p>
      <w:pPr>
        <w:spacing w:before="240" w:after="240"/>
      </w:pPr>
    </w:p>
    <w:p>
      <w:pPr>
        <w:spacing w:before="0" w:after="0"/>
        <w:jc w:val="center"/>
      </w:pPr>
      <w:r>
        <w:rPr>
          <w:rFonts w:ascii="Arial" w:hAnsi="Arial"/>
          <w:b/>
          <w:sz w:val="24"/>
        </w:rPr>
        <w:t>PT PERTAMINA (PERSERO)</w:t>
      </w:r>
    </w:p>
    <w:p>
      <w:pPr>
        <w:sectPr>
          <w:pgSz w:w="12240" w:h="15840"/>
          <w:pgMar w:top="1701" w:right="1417" w:bottom="1417" w:left="1701"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sectPr>
      </w:pPr>
    </w:p>
    <w:p>
      <w:pPr>
        <w:spacing w:before="480" w:after="480"/>
        <w:jc w:val="center"/>
      </w:pPr>
      <w:r>
        <w:rPr>
          <w:rFonts w:ascii="Arial" w:hAnsi="Arial"/>
          <w:b/>
          <w:sz w:val="28"/>
        </w:rPr>
        <w:t>LEMBAR PENGESAHAN</w:t>
      </w:r>
    </w:p>
    <w:tbl>
      <w:tblPr>
        <w:tblW w:type="auto" w:w="0"/>
        <w:jc w:val="center"/>
        <w:tblLook w:firstColumn="1" w:firstRow="1" w:lastColumn="0" w:lastRow="0" w:noHBand="0" w:noVBand="1" w:val="04A0"/>
      </w:tblPr>
      <w:tblGrid>
        <w:gridCol w:w="3041"/>
        <w:gridCol w:w="3041"/>
        <w:gridCol w:w="3041"/>
      </w:tblGrid>
      <w:tr>
        <w:tc>
          <w:tcPr>
            <w:tcW w:type="dxa" w:w="3041"/>
            <w:shd w:fill="D9E2F3" w:val="clear"/>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r>
          </w:p>
        </w:tc>
        <w:tc>
          <w:tcPr>
            <w:tcW w:type="dxa" w:w="3041"/>
            <w:shd w:fill="D9E2F3" w:val="clear"/>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t>Nama / Jabatan</w:t>
            </w:r>
          </w:p>
        </w:tc>
        <w:tc>
          <w:tcPr>
            <w:tcW w:type="dxa" w:w="3041"/>
            <w:shd w:fill="D9E2F3" w:val="clear"/>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t>Tanda Tangan</w:t>
            </w:r>
          </w:p>
        </w:tc>
      </w:tr>
      <w:tr>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t>Disusun oleh</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Kepala Bidang Teknik &amp; Operasi</w:t>
              <w:br/>
              <w:t>Project Manager</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____________________</w:t>
              <w:br/>
              <w:t>Tanggal: ___/___/______</w:t>
            </w:r>
          </w:p>
        </w:tc>
      </w:tr>
      <w:tr>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t>Diperiksa oleh</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Kepala Departemen Engineering &amp; QA/QC</w:t>
              <w:br/>
              <w:t>Chief Engineer</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____________________</w:t>
              <w:br/>
              <w:t>Tanggal: ___/___/______</w:t>
            </w:r>
          </w:p>
        </w:tc>
      </w:tr>
      <w:tr>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b/>
                <w:sz w:val="22"/>
              </w:rPr>
              <w:t>Disetujui oleh</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Direktur Utama Terminal BBM</w:t>
              <w:br/>
              <w:t>Terminal Director</w:t>
            </w:r>
          </w:p>
        </w:tc>
        <w:tc>
          <w:tcPr>
            <w:tcW w:type="dxa" w:w="3041"/>
            <w:tcBorders>
              <w:top w:val="single" w:sz="4" w:space="0" w:color="000000"/>
              <w:bottom w:val="single" w:sz="4" w:space="0" w:color="000000"/>
              <w:left w:val="single" w:sz="4" w:space="0" w:color="000000"/>
              <w:right w:val="single" w:sz="4" w:space="0" w:color="000000"/>
            </w:tcBorders>
          </w:tcPr>
          <w:p>
            <w:pPr>
              <w:jc w:val="center"/>
            </w:pPr>
            <w:r>
              <w:rPr>
                <w:rFonts w:ascii="Arial" w:hAnsi="Arial"/>
                <w:sz w:val="20"/>
              </w:rPr>
              <w:br/>
              <w:br/>
              <w:br/>
              <w:t>____________________</w:t>
              <w:br/>
              <w:t>Tanggal: ___/___/______</w:t>
            </w:r>
          </w:p>
        </w:tc>
      </w:tr>
    </w:tbl>
    <w:p>
      <w:r>
        <w:br w:type="page"/>
      </w:r>
    </w:p>
    <w:p>
      <w:pPr>
        <w:spacing w:before="480" w:after="360"/>
        <w:jc w:val="center"/>
      </w:pPr>
      <w:r>
        <w:rPr>
          <w:rFonts w:ascii="Arial" w:hAnsi="Arial"/>
          <w:b/>
          <w:sz w:val="28"/>
        </w:rPr>
        <w:t>DAFTAR ISI</w:t>
      </w:r>
    </w:p>
    <w:p>
      <w:r>
        <w:fldChar w:fldCharType="begin"/>
      </w:r>
      <w:r>
        <w:instrText xml:space="preserve"> TOC \o "1-3" \h \z \u </w:instrText>
      </w:r>
      <w:r>
        <w:fldChar w:fldCharType="separate"/>
      </w:r>
      <w:r>
        <w:rPr>
          <w:rFonts w:ascii="Arial" w:hAnsi="Arial"/>
          <w:color w:val="808080"/>
          <w:sz w:val="22"/>
        </w:rPr>
        <w:t>(Tekan F9 di Microsoft Word untuk update Daftar Isi)</w:t>
      </w:r>
      <w:r>
        <w:fldChar w:fldCharType="end"/>
      </w:r>
    </w:p>
    <w:p>
      <w:r>
        <w:br w:type="page"/>
      </w:r>
    </w:p>
    <w:p>
      <w:pPr>
        <w:sectPr>
          <w:pgSz w:w="12240" w:h="15840"/>
          <w:pgMar w:top="1701" w:right="1417" w:bottom="1417" w:left="1701" w:header="720" w:footer="720" w:gutter="0"/>
          <w:cols w:space="720"/>
          <w:docGrid w:linePitch="360"/>
        </w:sectPr>
      </w:pPr>
    </w:p>
    <w:p>
      <w:pPr>
        <w:pStyle w:val="Heading1"/>
      </w:pPr>
      <w:r>
        <w:rPr>
          <w:rFonts w:ascii="Arial" w:hAnsi="Arial"/>
          <w:color w:val="000000"/>
          <w:sz w:val="28"/>
        </w:rPr>
        <w:t>BAB I - UMUM</w:t>
      </w:r>
    </w:p>
    <w:p>
      <w:pPr>
        <w:pStyle w:val="Heading2"/>
      </w:pPr>
      <w:r>
        <w:rPr>
          <w:rFonts w:ascii="Arial" w:hAnsi="Arial"/>
          <w:color w:val="000000"/>
          <w:sz w:val="24"/>
        </w:rPr>
        <w:t>1.1 Latar Belakang dan Tujuan</w:t>
      </w:r>
    </w:p>
    <w:p>
      <w:pPr>
        <w:spacing w:line="360" w:lineRule="auto" w:after="120"/>
      </w:pPr>
      <w:r>
        <w:rPr>
          <w:rFonts w:ascii="Arial" w:hAnsi="Arial"/>
          <w:sz w:val="24"/>
        </w:rPr>
        <w:t>Pekerjaan ini bertujuan untuk melaksanakan pembangunan tangki air kapasitas 1.000 KL di lokasi Fuel Terminal Samarinda dengan tingkat risiko CSMS kategori HIGH. Seluruh pelaksanaan pekerjaan harus memenuhi standar teknis, keselamatan, dan lingkungan yang berlaku serta menghasilkan konstruksi yang aman, tahan lama, dan dapat dipertanggungjawabkan sesuai dengan Rencana Kerja dan Syarat-Syarat (RKS) serta Berita Acara Penjelasan Pekerjaan.</w:t>
      </w:r>
    </w:p>
    <w:p>
      <w:pPr>
        <w:pStyle w:val="Heading2"/>
      </w:pPr>
      <w:r>
        <w:rPr>
          <w:rFonts w:ascii="Arial" w:hAnsi="Arial"/>
          <w:color w:val="000000"/>
          <w:sz w:val="24"/>
        </w:rPr>
        <w:t>1.2 Dasar Penyusunan Dokumen</w:t>
      </w:r>
    </w:p>
    <w:p>
      <w:pPr>
        <w:pStyle w:val="ListNumber"/>
      </w:pPr>
      <w:r>
        <w:rPr>
          <w:rFonts w:ascii="Arial" w:hAnsi="Arial"/>
          <w:sz w:val="24"/>
        </w:rPr>
        <w:t>Peraturan Menteri ESDM dan ketentuan Dirjen Migas terkait penyimpanan bahan bakar cair dan air industri.</w:t>
      </w:r>
    </w:p>
    <w:p>
      <w:pPr>
        <w:pStyle w:val="ListNumber"/>
      </w:pPr>
      <w:r>
        <w:rPr>
          <w:rFonts w:ascii="Arial" w:hAnsi="Arial"/>
          <w:sz w:val="24"/>
        </w:rPr>
        <w:t>Bill of Quantities (BOQ) dan Gambar Desain Teknik yang telah disetujui.</w:t>
      </w:r>
    </w:p>
    <w:p>
      <w:pPr>
        <w:pStyle w:val="ListNumber"/>
      </w:pPr>
      <w:r>
        <w:rPr>
          <w:rFonts w:ascii="Arial" w:hAnsi="Arial"/>
          <w:sz w:val="24"/>
        </w:rPr>
        <w:t>Pedoman HSSE Pertamina dan sistem manajemen risiko CSMS level HIGH.</w:t>
      </w:r>
    </w:p>
    <w:p>
      <w:pPr>
        <w:pStyle w:val="ListNumber"/>
      </w:pPr>
      <w:r>
        <w:rPr>
          <w:rFonts w:ascii="Arial" w:hAnsi="Arial"/>
          <w:sz w:val="24"/>
        </w:rPr>
        <w:t>Standar internasional ASTM, ASME, API, ISO, dan SSPC yang menjadi acuan material dan fabrikasi.</w:t>
      </w:r>
    </w:p>
    <w:p>
      <w:pPr>
        <w:pStyle w:val="Heading2"/>
      </w:pPr>
      <w:r>
        <w:rPr>
          <w:rFonts w:ascii="Arial" w:hAnsi="Arial"/>
          <w:color w:val="000000"/>
          <w:sz w:val="24"/>
        </w:rPr>
        <w:t>1.3 Batasan Wilayah Kerja</w:t>
      </w:r>
    </w:p>
    <w:p>
      <w:pPr>
        <w:spacing w:line="360" w:lineRule="auto" w:after="120"/>
      </w:pPr>
      <w:r>
        <w:rPr>
          <w:rFonts w:ascii="Arial" w:hAnsi="Arial"/>
          <w:sz w:val="24"/>
        </w:rPr>
        <w:t>Wilayah kerja dibatasi pada area Fuel Terminal Samarinda yang telah ditetapkan oleh Pemberi Pekerjaan. Kontraktor wajib mematuhi zona akses, pembatas area kerja, dan prosedur masuk keluar personel serta peralatan yang diatur oleh security dan tim HSSE terminal.</w:t>
      </w:r>
    </w:p>
    <w:p>
      <w:pPr>
        <w:pStyle w:val="Heading1"/>
      </w:pPr>
      <w:r>
        <w:rPr>
          <w:rFonts w:ascii="Arial" w:hAnsi="Arial"/>
          <w:color w:val="000000"/>
          <w:sz w:val="28"/>
        </w:rPr>
        <w:t>BAB II - RUANG LINGKUP PEKERJAAN</w:t>
      </w:r>
    </w:p>
    <w:p>
      <w:pPr>
        <w:pStyle w:val="Heading2"/>
      </w:pPr>
      <w:r>
        <w:rPr>
          <w:rFonts w:ascii="Arial" w:hAnsi="Arial"/>
          <w:color w:val="000000"/>
          <w:sz w:val="24"/>
        </w:rPr>
        <w:t>2.1 Persiapan Konstruksi</w:t>
      </w:r>
    </w:p>
    <w:p>
      <w:pPr>
        <w:pStyle w:val="ListBullet"/>
      </w:pPr>
      <w:r>
        <w:rPr>
          <w:rFonts w:ascii="Arial" w:hAnsi="Arial"/>
          <w:sz w:val="24"/>
        </w:rPr>
        <w:t>Penyediaan direksi kit termasuk kontainer 40 ft sebagai kantor lapangan.</w:t>
      </w:r>
    </w:p>
    <w:p>
      <w:pPr>
        <w:pStyle w:val="ListBullet"/>
      </w:pPr>
      <w:r>
        <w:rPr>
          <w:rFonts w:ascii="Arial" w:hAnsi="Arial"/>
          <w:sz w:val="24"/>
        </w:rPr>
        <w:t>Survei engineering, topografi, dan penyusunan shop drawing detail.</w:t>
      </w:r>
    </w:p>
    <w:p>
      <w:pPr>
        <w:pStyle w:val="ListBullet"/>
      </w:pPr>
      <w:r>
        <w:rPr>
          <w:rFonts w:ascii="Arial" w:hAnsi="Arial"/>
          <w:sz w:val="24"/>
        </w:rPr>
        <w:t>Mobilisasi dan demobilisasi tenaga ahli, alat berat, dan peralatan kerja.</w:t>
      </w:r>
    </w:p>
    <w:p>
      <w:pPr>
        <w:pStyle w:val="ListBullet"/>
      </w:pPr>
      <w:r>
        <w:rPr>
          <w:rFonts w:ascii="Arial" w:hAnsi="Arial"/>
          <w:sz w:val="24"/>
        </w:rPr>
        <w:t>Sewa scaffolding dan pemasangan fasilitas HSSE sementara.</w:t>
      </w:r>
    </w:p>
    <w:p>
      <w:pPr>
        <w:pStyle w:val="Heading2"/>
      </w:pPr>
      <w:r>
        <w:rPr>
          <w:rFonts w:ascii="Arial" w:hAnsi="Arial"/>
          <w:color w:val="000000"/>
          <w:sz w:val="24"/>
        </w:rPr>
        <w:t>2.2 Pekerjaan Pondasi dan Struktur Beton</w:t>
      </w:r>
    </w:p>
    <w:p>
      <w:pPr>
        <w:pStyle w:val="ListNumber"/>
      </w:pPr>
      <w:r>
        <w:rPr>
          <w:rFonts w:ascii="Arial" w:hAnsi="Arial"/>
          <w:sz w:val="24"/>
        </w:rPr>
        <w:t>Pemancangan spun pile mutu K450 (Ø 400 mm) sepanjang ±450 m pada 25 titik pondasi.</w:t>
      </w:r>
    </w:p>
    <w:p>
      <w:pPr>
        <w:pStyle w:val="ListNumber"/>
      </w:pPr>
      <w:r>
        <w:rPr>
          <w:rFonts w:ascii="Arial" w:hAnsi="Arial"/>
          <w:sz w:val="24"/>
        </w:rPr>
        <w:t>Penggalian tanah volume ±146,92 m³ dan urugan pasir pilihan ±680,84 m³ yang dipadatkan sesuai spesifikasi geoteknik.</w:t>
      </w:r>
    </w:p>
    <w:p>
      <w:pPr>
        <w:pStyle w:val="ListNumber"/>
      </w:pPr>
      <w:r>
        <w:rPr>
          <w:rFonts w:ascii="Arial" w:hAnsi="Arial"/>
          <w:sz w:val="24"/>
        </w:rPr>
        <w:t>Pemasangan lantai kerja, bekisting berulang ±168,47 m², dan pengecoran beton bertulang ±77,59 m³ menggunakan ready mix K250 dan K300.</w:t>
      </w:r>
    </w:p>
    <w:p>
      <w:pPr>
        <w:pStyle w:val="ListNumber"/>
      </w:pPr>
      <w:r>
        <w:rPr>
          <w:rFonts w:ascii="Arial" w:hAnsi="Arial"/>
          <w:sz w:val="24"/>
        </w:rPr>
        <w:t>Finishing permukaan dengan asphalt ACWC dan pembuatan slab beton pile cap.</w:t>
      </w:r>
    </w:p>
    <w:p>
      <w:pPr>
        <w:pStyle w:val="Heading2"/>
      </w:pPr>
      <w:r>
        <w:rPr>
          <w:rFonts w:ascii="Arial" w:hAnsi="Arial"/>
          <w:color w:val="000000"/>
          <w:sz w:val="24"/>
        </w:rPr>
        <w:t>2.3 Fabrikasi dan Erection Tangki</w:t>
      </w:r>
    </w:p>
    <w:p>
      <w:pPr>
        <w:pStyle w:val="ListBullet"/>
      </w:pPr>
      <w:r>
        <w:rPr>
          <w:rFonts w:ascii="Arial" w:hAnsi="Arial"/>
          <w:sz w:val="24"/>
        </w:rPr>
        <w:t>Perakitan plat shell (Ring I–VI) ±15.750 kg, plat bottom ±8.400 kg, dan plat roof ±6.300 kg.</w:t>
      </w:r>
    </w:p>
    <w:p>
      <w:pPr>
        <w:pStyle w:val="ListBullet"/>
      </w:pPr>
      <w:r>
        <w:rPr>
          <w:rFonts w:ascii="Arial" w:hAnsi="Arial"/>
          <w:sz w:val="24"/>
        </w:rPr>
        <w:t>Pemasangan rangka atap, struktur pendukung, platform inlet/outlet, serta walkway.</w:t>
      </w:r>
    </w:p>
    <w:p>
      <w:pPr>
        <w:pStyle w:val="ListBullet"/>
      </w:pPr>
      <w:r>
        <w:rPr>
          <w:rFonts w:ascii="Arial" w:hAnsi="Arial"/>
          <w:sz w:val="24"/>
        </w:rPr>
        <w:t>Pembuatan tangga darurat, handrail internal dan eksternal, serta bracket penopang.</w:t>
      </w:r>
    </w:p>
    <w:p>
      <w:pPr>
        <w:pStyle w:val="ListBullet"/>
      </w:pPr>
      <w:r>
        <w:rPr>
          <w:rFonts w:ascii="Arial" w:hAnsi="Arial"/>
          <w:sz w:val="24"/>
        </w:rPr>
        <w:t>Instalasi nozzle, breather valve, emergency vent, manhole, dan product drain sesuai gambar.</w:t>
      </w:r>
    </w:p>
    <w:p>
      <w:pPr>
        <w:pStyle w:val="Heading2"/>
      </w:pPr>
      <w:r>
        <w:rPr>
          <w:rFonts w:ascii="Arial" w:hAnsi="Arial"/>
          <w:color w:val="000000"/>
          <w:sz w:val="24"/>
        </w:rPr>
        <w:t>2.4 Instalasi Pipa dan Sistem Kelengkapan</w:t>
      </w:r>
    </w:p>
    <w:p>
      <w:pPr>
        <w:spacing w:line="360" w:lineRule="auto" w:after="120"/>
      </w:pPr>
      <w:r>
        <w:rPr>
          <w:rFonts w:ascii="Arial" w:hAnsi="Arial"/>
          <w:sz w:val="24"/>
        </w:rPr>
        <w:t>Kontraktor bertanggung jawab atas pemasangan pipa akses Ø 1,5" (±18 m), gate valve 4" (2 unit) dan 2" (1 unit), free vent Ø 6" (2 unit), serta seluruh flange ASME B.16.5 Class #150 SO RF dan fitting ASTM A 234 WPB Sch 40. Sistem earthing/grounding juga harus terpasang lengkap dengan hambatan maksimal 4 ohm.</w:t>
      </w:r>
    </w:p>
    <w:p>
      <w:pPr>
        <w:pStyle w:val="Heading1"/>
      </w:pPr>
      <w:r>
        <w:rPr>
          <w:rFonts w:ascii="Arial" w:hAnsi="Arial"/>
          <w:color w:val="000000"/>
          <w:sz w:val="28"/>
        </w:rPr>
        <w:t>BAB III - SPESIFIKASI TEKNIS DAN MATERIAL</w:t>
      </w:r>
    </w:p>
    <w:p>
      <w:pPr>
        <w:pStyle w:val="Heading2"/>
      </w:pPr>
      <w:r>
        <w:rPr>
          <w:rFonts w:ascii="Arial" w:hAnsi="Arial"/>
          <w:color w:val="000000"/>
          <w:sz w:val="24"/>
        </w:rPr>
        <w:t>3.1 Standar Material Baja dan Pipa</w:t>
      </w:r>
    </w:p>
    <w:p>
      <w:pPr>
        <w:pStyle w:val="Heading2"/>
      </w:pPr>
      <w:r>
        <w:rPr>
          <w:rFonts w:ascii="Arial" w:hAnsi="Arial"/>
          <w:color w:val="000000"/>
          <w:sz w:val="24"/>
        </w:rPr>
        <w:t>3.2 Mutu Beton dan Pondasi</w:t>
      </w:r>
    </w:p>
    <w:p>
      <w:pPr>
        <w:spacing w:line="360" w:lineRule="auto" w:after="120"/>
      </w:pPr>
      <w:r>
        <w:rPr>
          <w:rFonts w:ascii="Arial" w:hAnsi="Arial"/>
          <w:sz w:val="24"/>
        </w:rPr>
        <w:t>Pondasi menggunakan spun pile mutu K450 dengan kedalaman tanam 18 meter. Pengecoran kepala tiang dan pile cap menggunakan ready mix K250, sedangkan poer dan slab menggunakan ready mix K300. Urugan pasir pilihan wajib dipadatkan hingga mencapai densitas minimum sesuai hasil uji laboratorium. Pembesian beton struktur harus disesuaikan secara ketat dengan gambar rencana, dan pengecoran hanya dapat dilaksanakan atas persetujuan tertulis dari direksi/pengawas.</w:t>
      </w:r>
    </w:p>
    <w:p>
      <w:pPr>
        <w:pStyle w:val="Heading2"/>
      </w:pPr>
      <w:r>
        <w:rPr>
          <w:rFonts w:ascii="Arial" w:hAnsi="Arial"/>
          <w:color w:val="000000"/>
          <w:sz w:val="24"/>
        </w:rPr>
        <w:t>3.3 Sistem Pelapisan (Coating)</w:t>
      </w:r>
    </w:p>
    <w:p>
      <w:pPr>
        <w:pStyle w:val="ListNumber"/>
      </w:pPr>
      <w:r>
        <w:rPr>
          <w:rFonts w:ascii="Arial" w:hAnsi="Arial"/>
          <w:sz w:val="24"/>
        </w:rPr>
        <w:t>Persiapan permukaan wajib dilakukan blast cleaning hingga standar ISO 8501-1 : Sa 2.5 / SSPC-SP10 sebelum aplikasi cat.</w:t>
      </w:r>
    </w:p>
    <w:p>
      <w:pPr>
        <w:pStyle w:val="ListNumber"/>
      </w:pPr>
      <w:r>
        <w:rPr>
          <w:rFonts w:ascii="Arial" w:hAnsi="Arial"/>
          <w:sz w:val="24"/>
        </w:rPr>
        <w:t>Ketebalan minimum coating ditetapkan 250–275 µm (DFT) dengan metode airless spray.</w:t>
      </w:r>
    </w:p>
    <w:p>
      <w:pPr>
        <w:pStyle w:val="ListNumber"/>
      </w:pPr>
      <w:r>
        <w:rPr>
          <w:rFonts w:ascii="Arial" w:hAnsi="Arial"/>
          <w:sz w:val="24"/>
        </w:rPr>
        <w:t>Zona Internal: Amine adduct epoxy (anti-korosi dan food/water grade compliant).</w:t>
      </w:r>
    </w:p>
    <w:p>
      <w:pPr>
        <w:pStyle w:val="ListNumber"/>
      </w:pPr>
      <w:r>
        <w:rPr>
          <w:rFonts w:ascii="Arial" w:hAnsi="Arial"/>
          <w:sz w:val="24"/>
        </w:rPr>
        <w:t>Zona Eksternal: Inorganic zinc silicate + High solid epoxy + Aliphatic polyurethane (UV resistant).</w:t>
      </w:r>
    </w:p>
    <w:p>
      <w:pPr>
        <w:pStyle w:val="ListNumber"/>
      </w:pPr>
      <w:r>
        <w:rPr>
          <w:rFonts w:ascii="Arial" w:hAnsi="Arial"/>
          <w:sz w:val="24"/>
        </w:rPr>
        <w:t>Zona Underside: Epoxy zinc rich + Coal tar epoxy (tahan kelembaban tanah).</w:t>
      </w:r>
    </w:p>
    <w:p>
      <w:pPr>
        <w:pStyle w:val="Heading2"/>
      </w:pPr>
      <w:r>
        <w:rPr>
          <w:rFonts w:ascii="Arial" w:hAnsi="Arial"/>
          <w:color w:val="000000"/>
          <w:sz w:val="24"/>
        </w:rPr>
        <w:t>3.4 Toleransi Pengelasan dan Fabrikasi</w:t>
      </w:r>
    </w:p>
    <w:p>
      <w:pPr>
        <w:pStyle w:val="ListBullet"/>
      </w:pPr>
      <w:r>
        <w:rPr>
          <w:rFonts w:ascii="Arial" w:hAnsi="Arial"/>
          <w:sz w:val="24"/>
        </w:rPr>
        <w:t>Seluruh pengelasan mengikuti WPS/PQR yang telah disetujui dan dikerjakan oleh welder bersertifikat.</w:t>
      </w:r>
    </w:p>
    <w:p>
      <w:pPr>
        <w:pStyle w:val="ListBullet"/>
      </w:pPr>
      <w:r>
        <w:rPr>
          <w:rFonts w:ascii="Arial" w:hAnsi="Arial"/>
          <w:sz w:val="24"/>
        </w:rPr>
        <w:t>Toleransi kelurusan shell maksimum ±3 mm per 10 meter tinggi.</w:t>
      </w:r>
    </w:p>
    <w:p>
      <w:pPr>
        <w:pStyle w:val="ListBullet"/>
      </w:pPr>
      <w:r>
        <w:rPr>
          <w:rFonts w:ascii="Arial" w:hAnsi="Arial"/>
          <w:sz w:val="24"/>
        </w:rPr>
        <w:t>Uji NDT (MT/PT/DPI) wajib dilakukan pada sambungan kritis dan 10% random check pada sambungan sekunder.</w:t>
      </w:r>
    </w:p>
    <w:p>
      <w:pPr>
        <w:pStyle w:val="ListBullet"/>
      </w:pPr>
      <w:r>
        <w:rPr>
          <w:rFonts w:ascii="Arial" w:hAnsi="Arial"/>
          <w:sz w:val="24"/>
        </w:rPr>
        <w:t>Kontraktor wajib menyediakan contah bahan atau mock-up section yang memperlihatkan konstruksi sambungan, detail las, dan tampilan bidang permukaan sebagai referensi kualitas akhir.</w:t>
      </w:r>
    </w:p>
    <w:p>
      <w:pPr>
        <w:pStyle w:val="Heading1"/>
      </w:pPr>
      <w:r>
        <w:rPr>
          <w:rFonts w:ascii="Arial" w:hAnsi="Arial"/>
          <w:color w:val="000000"/>
          <w:sz w:val="28"/>
        </w:rPr>
        <w:t>BAB IV - PERSYARATAN HSSE DAN LINGKUNGAN</w:t>
      </w:r>
    </w:p>
    <w:p>
      <w:pPr>
        <w:pStyle w:val="Heading2"/>
      </w:pPr>
      <w:r>
        <w:rPr>
          <w:rFonts w:ascii="Arial" w:hAnsi="Arial"/>
          <w:color w:val="000000"/>
          <w:sz w:val="24"/>
        </w:rPr>
        <w:t>4.1 Manajemen Risiko dan CSMS</w:t>
      </w:r>
    </w:p>
    <w:p>
      <w:pPr>
        <w:spacing w:line="360" w:lineRule="auto" w:after="120"/>
      </w:pPr>
      <w:r>
        <w:rPr>
          <w:rFonts w:ascii="Arial" w:hAnsi="Arial"/>
          <w:sz w:val="24"/>
        </w:rPr>
        <w:t>Mengingat risiko pekerjaan dikategorikan HIGH, kontraktor wajib menerapkan sistem manajemen keselamatan terintegrasi. Tim HSSE kontraktor harus dipimpin oleh Safety Man berpengalaman, dilengkapi dengan fire blanket, genset cadangan, tirai air (water curtain), dan prosedur emergency response plan (ERP) yang disosialisasikan kepada seluruh personel sebelum pekerjaan dimulai.</w:t>
      </w:r>
    </w:p>
    <w:p>
      <w:pPr>
        <w:pStyle w:val="Heading2"/>
      </w:pPr>
      <w:r>
        <w:rPr>
          <w:rFonts w:ascii="Arial" w:hAnsi="Arial"/>
          <w:color w:val="000000"/>
          <w:sz w:val="24"/>
        </w:rPr>
        <w:t>4.2 APD dan Fasilitas Keselamatan Kerja</w:t>
      </w:r>
    </w:p>
    <w:p>
      <w:pPr>
        <w:pStyle w:val="ListBullet"/>
      </w:pPr>
      <w:r>
        <w:rPr>
          <w:rFonts w:ascii="Arial" w:hAnsi="Arial"/>
          <w:sz w:val="24"/>
        </w:rPr>
        <w:t>APD lengkap wajib dikenakan: helm safety, kacamata pelindung, sepatu safety, sarung tangan las/kimia, dan full body harness untuk pekerjaan di ketinggian.</w:t>
      </w:r>
    </w:p>
    <w:p>
      <w:pPr>
        <w:pStyle w:val="ListBullet"/>
      </w:pPr>
      <w:r>
        <w:rPr>
          <w:rFonts w:ascii="Arial" w:hAnsi="Arial"/>
          <w:sz w:val="24"/>
        </w:rPr>
        <w:t>Scaffolding harus dirancang oleh engineer bersertifikat, diberi label hijau/kuning, dan diinspeksi harian.</w:t>
      </w:r>
    </w:p>
    <w:p>
      <w:pPr>
        <w:pStyle w:val="ListBullet"/>
      </w:pPr>
      <w:r>
        <w:rPr>
          <w:rFonts w:ascii="Arial" w:hAnsi="Arial"/>
          <w:sz w:val="24"/>
        </w:rPr>
        <w:t>Area kerja berisiko tinggi (hot work/confined space) wajib dilengkapi gas detector dan permit to work (PTW) aktif.</w:t>
      </w:r>
    </w:p>
    <w:p>
      <w:pPr>
        <w:pStyle w:val="ListBullet"/>
      </w:pPr>
      <w:r>
        <w:rPr>
          <w:rFonts w:ascii="Arial" w:hAnsi="Arial"/>
          <w:sz w:val="24"/>
        </w:rPr>
        <w:t>Pembatas area kerja (barrier tape/cone) dan rambu keselamatan harus terpasang jelas di seluruh perimeter.</w:t>
      </w:r>
    </w:p>
    <w:p>
      <w:pPr>
        <w:pStyle w:val="Heading2"/>
      </w:pPr>
      <w:r>
        <w:rPr>
          <w:rFonts w:ascii="Arial" w:hAnsi="Arial"/>
          <w:color w:val="000000"/>
          <w:sz w:val="24"/>
        </w:rPr>
        <w:t>4.3 Pengelolaan Limbah dan Kebersihan Area</w:t>
      </w:r>
    </w:p>
    <w:p>
      <w:pPr>
        <w:pStyle w:val="ListNumber"/>
      </w:pPr>
      <w:r>
        <w:rPr>
          <w:rFonts w:ascii="Arial" w:hAnsi="Arial"/>
          <w:sz w:val="24"/>
        </w:rPr>
        <w:t>Memastikan semua area kerja bersih dari sisa material dan pekerjaan (contoh: besi, kayu, pasir sand blast, kemasan material, kertas, dan lain-lain) setiap hari sebelum shift berakhir.</w:t>
      </w:r>
    </w:p>
    <w:p>
      <w:pPr>
        <w:pStyle w:val="ListNumber"/>
      </w:pPr>
      <w:r>
        <w:rPr>
          <w:rFonts w:ascii="Arial" w:hAnsi="Arial"/>
          <w:sz w:val="24"/>
        </w:rPr>
        <w:t>Pemisahan limbah B3 (calcat, solvent, rempah las) ke dalam drum tertutup dan didisposisikan melalui pihak ketiga berizin.</w:t>
      </w:r>
    </w:p>
    <w:p>
      <w:pPr>
        <w:pStyle w:val="ListNumber"/>
      </w:pPr>
      <w:r>
        <w:rPr>
          <w:rFonts w:ascii="Arial" w:hAnsi="Arial"/>
          <w:sz w:val="24"/>
        </w:rPr>
        <w:t>Melakukan intervensi segera jika menemukan personil yang membuang sampah sembarangan serta meninggalkan sisa material dan pekerjaan di area kerja, disertai sanksi disiplin sesuai kontrak.</w:t>
      </w:r>
    </w:p>
    <w:p>
      <w:pPr>
        <w:pStyle w:val="ListNumber"/>
      </w:pPr>
      <w:r>
        <w:rPr>
          <w:rFonts w:ascii="Arial" w:hAnsi="Arial"/>
          <w:sz w:val="24"/>
        </w:rPr>
        <w:t>Pelaporan insiden hampir celaka (near miss) wajib disampaikan dalam waktu 2x24 jam ke tim HSSE terminal.</w:t>
      </w:r>
    </w:p>
    <w:p>
      <w:pPr>
        <w:pStyle w:val="Heading2"/>
      </w:pPr>
      <w:r>
        <w:rPr>
          <w:rFonts w:ascii="Arial" w:hAnsi="Arial"/>
          <w:color w:val="000000"/>
          <w:sz w:val="24"/>
        </w:rPr>
        <w:t>4.4 Grounding dan Earthing System</w:t>
      </w:r>
    </w:p>
    <w:p>
      <w:pPr>
        <w:spacing w:line="360" w:lineRule="auto" w:after="120"/>
      </w:pPr>
      <w:r>
        <w:rPr>
          <w:rFonts w:ascii="Arial" w:hAnsi="Arial"/>
          <w:sz w:val="24"/>
        </w:rPr>
        <w:t>Sistem grounding tangki dan instalasi listrik konstruksi harus memenuhi standar keamanan petir dan arus bocor. Hambatan tanah (ground resistance) maksimal 4 ohm sesuai ketentuan Dirjen Migas. Pengukuran dilakukan menggunakan ground tester dan hasilnya dicantumkan dalam laporan commissioning.</w:t>
      </w:r>
    </w:p>
    <w:p>
      <w:pPr>
        <w:pStyle w:val="Heading1"/>
      </w:pPr>
      <w:r>
        <w:rPr>
          <w:rFonts w:ascii="Arial" w:hAnsi="Arial"/>
          <w:color w:val="000000"/>
          <w:sz w:val="28"/>
        </w:rPr>
        <w:t>BAB V - PENGENDALIAN KUALITAS DAN DOKUMENTASI</w:t>
      </w:r>
    </w:p>
    <w:p>
      <w:pPr>
        <w:pStyle w:val="Heading2"/>
      </w:pPr>
      <w:r>
        <w:rPr>
          <w:rFonts w:ascii="Arial" w:hAnsi="Arial"/>
          <w:color w:val="000000"/>
          <w:sz w:val="24"/>
        </w:rPr>
        <w:t>5.1 Prosedur Inspeksi dan Pengujian</w:t>
      </w:r>
    </w:p>
    <w:p>
      <w:pPr>
        <w:pStyle w:val="ListNumber"/>
      </w:pPr>
      <w:r>
        <w:rPr>
          <w:rFonts w:ascii="Arial" w:hAnsi="Arial"/>
          <w:sz w:val="24"/>
        </w:rPr>
        <w:t>Material Approval Form (MAF) wajib diajukan dan disetujui sebelum pembelian dan pengiriman material ke lokasi.</w:t>
      </w:r>
    </w:p>
    <w:p>
      <w:pPr>
        <w:pStyle w:val="ListNumber"/>
      </w:pPr>
      <w:r>
        <w:rPr>
          <w:rFonts w:ascii="Arial" w:hAnsi="Arial"/>
          <w:sz w:val="24"/>
        </w:rPr>
        <w:t>Pengukuran DFT coating menggunakan dry film thickness gauge terkalibrasi pada setiap lapisan.</w:t>
      </w:r>
    </w:p>
    <w:p>
      <w:pPr>
        <w:pStyle w:val="ListNumber"/>
      </w:pPr>
      <w:r>
        <w:rPr>
          <w:rFonts w:ascii="Arial" w:hAnsi="Arial"/>
          <w:sz w:val="24"/>
        </w:rPr>
        <w:t>Uji pembebanan spun pile (pile load test) dan uji slump concrete sesuai frekuensi pengambilan sampel.</w:t>
      </w:r>
    </w:p>
    <w:p>
      <w:pPr>
        <w:pStyle w:val="ListNumber"/>
      </w:pPr>
      <w:r>
        <w:rPr>
          <w:rFonts w:ascii="Arial" w:hAnsi="Arial"/>
          <w:sz w:val="24"/>
        </w:rPr>
        <w:t>Hydrotest atau leak test pada sistem perpipaan dan nozzle setelah instalasi selesai.</w:t>
      </w:r>
    </w:p>
    <w:p>
      <w:pPr>
        <w:pStyle w:val="Heading2"/>
      </w:pPr>
      <w:r>
        <w:rPr>
          <w:rFonts w:ascii="Arial" w:hAnsi="Arial"/>
          <w:color w:val="000000"/>
          <w:sz w:val="24"/>
        </w:rPr>
        <w:t>5.2 Persyaratan Dokumentasi Teknis</w:t>
      </w:r>
    </w:p>
    <w:p>
      <w:pPr>
        <w:pStyle w:val="ListBullet"/>
      </w:pPr>
      <w:r>
        <w:rPr>
          <w:rFonts w:ascii="Arial" w:hAnsi="Arial"/>
          <w:sz w:val="24"/>
        </w:rPr>
        <w:t>Penyusunan Shop Drawing detail, As Built Drawing, dan Matrikel Material yang diverifikasi oleh engineer kontraktor.</w:t>
      </w:r>
    </w:p>
    <w:p>
      <w:pPr>
        <w:pStyle w:val="ListBullet"/>
      </w:pPr>
      <w:r>
        <w:rPr>
          <w:rFonts w:ascii="Arial" w:hAnsi="Arial"/>
          <w:sz w:val="24"/>
        </w:rPr>
        <w:t>Laporan progres bulanan mencakup pencapaian fisik, alokasi sumber daya, dan mitigasi risiko.</w:t>
      </w:r>
    </w:p>
    <w:p>
      <w:pPr>
        <w:pStyle w:val="ListBullet"/>
      </w:pPr>
      <w:r>
        <w:rPr>
          <w:rFonts w:ascii="Arial" w:hAnsi="Arial"/>
          <w:sz w:val="24"/>
        </w:rPr>
        <w:t>Penyediaan standby drafter selama 8 bulan untuk dukungan teknis lapangan dan revisi gambar.</w:t>
      </w:r>
    </w:p>
    <w:p>
      <w:pPr>
        <w:pStyle w:val="ListBullet"/>
      </w:pPr>
      <w:r>
        <w:rPr>
          <w:rFonts w:ascii="Arial" w:hAnsi="Arial"/>
          <w:sz w:val="24"/>
        </w:rPr>
        <w:t>Arsip foto dokumentasi setiap tahap pekerjaan (before, during, after) untuk verifikasi visual.</w:t>
      </w:r>
    </w:p>
    <w:p>
      <w:pPr>
        <w:pStyle w:val="Heading2"/>
      </w:pPr>
      <w:r>
        <w:rPr>
          <w:rFonts w:ascii="Arial" w:hAnsi="Arial"/>
          <w:color w:val="000000"/>
          <w:sz w:val="24"/>
        </w:rPr>
        <w:t>5.3 Koordinasi dan Supervisi</w:t>
      </w:r>
    </w:p>
    <w:p>
      <w:pPr>
        <w:spacing w:line="360" w:lineRule="auto" w:after="120"/>
      </w:pPr>
      <w:r>
        <w:rPr>
          <w:rFonts w:ascii="Arial" w:hAnsi="Arial"/>
          <w:sz w:val="24"/>
        </w:rPr>
        <w:t>Selama pelaksanaan pekerjaan, KONTRAKTOR harus selalu koordinasi dengan Pengawas PERUSAHAAN yang bersangkutan mengenai jadwal, perubahan desain, kendala teknis, dan persetujuan quality hold point. Komunikasi resmi dilakukan melalui surat dinas, notulen rapat mingguan, dan sistem digital tracking proyek yang disediakan Pemberi Pekerjaan.</w:t>
      </w:r>
    </w:p>
    <w:p>
      <w:pPr>
        <w:pStyle w:val="Heading2"/>
      </w:pPr>
      <w:r>
        <w:rPr>
          <w:rFonts w:ascii="Arial" w:hAnsi="Arial"/>
          <w:color w:val="000000"/>
          <w:sz w:val="24"/>
        </w:rPr>
        <w:t>5.4 Serah Terima dan Penjaminan</w:t>
      </w:r>
    </w:p>
    <w:p>
      <w:pPr>
        <w:spacing w:line="360" w:lineRule="auto" w:after="120"/>
      </w:pPr>
      <w:r>
        <w:rPr>
          <w:rFonts w:ascii="Arial" w:hAnsi="Arial"/>
          <w:sz w:val="24"/>
        </w:rPr>
        <w:t>Pekerjaan dianggap selesai apabila seluruh output telah memenuhi spesifikasi RKS, lulus uji komisioning, dan dokumen serah terima (Handover Certificate) ditandatangani oleh kedua belah pihak. Kontraktor tetap bertanggung jawab atas cacat tersembunyi (latent defect) selama masa pemeliharaan (defect liability period) sesuai ketentuan kontrak.</w:t>
      </w:r>
    </w:p>
    <w:sectPr w:rsidR="00FC693F" w:rsidRPr="0006063C" w:rsidSect="00034616">
      <w:headerReference w:type="default" r:id="rId10"/>
      <w:footerReference w:type="default" r:id="rId11"/>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1" w:color="000000"/>
      </w:pBdr>
    </w:pPr>
    <w:r>
      <w:rPr>
        <w:rFonts w:ascii="Arial" w:hAnsi="Arial"/>
        <w:sz w:val="16"/>
      </w:rPr>
      <w:t xml:space="preserve">No. Dok: RKS-21421-2026  |  </w:t>
    </w:r>
    <w:r>
      <w:rPr>
        <w:rFonts w:ascii="Arial" w:hAnsi="Arial"/>
        <w:sz w:val="16"/>
      </w:rPr>
      <w:t xml:space="preserve">Hal. </w:t>
    </w: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drawing>
        <wp:inline xmlns:a="http://schemas.openxmlformats.org/drawingml/2006/main" xmlns:pic="http://schemas.openxmlformats.org/drawingml/2006/picture">
          <wp:extent cx="1851429" cy="432000"/>
          <wp:docPr id="1" name="Picture 1"/>
          <wp:cNvGraphicFramePr>
            <a:graphicFrameLocks noChangeAspect="1"/>
          </wp:cNvGraphicFramePr>
          <a:graphic>
            <a:graphicData uri="http://schemas.openxmlformats.org/drawingml/2006/picture">
              <pic:pic>
                <pic:nvPicPr>
                  <pic:cNvPr id="0" name="logo_pertamina.png"/>
                  <pic:cNvPicPr/>
                </pic:nvPicPr>
                <pic:blipFill>
                  <a:blip r:embed="rId1"/>
                  <a:stretch>
                    <a:fillRect/>
                  </a:stretch>
                </pic:blipFill>
                <pic:spPr>
                  <a:xfrm>
                    <a:off x="0" y="0"/>
                    <a:ext cx="1851429" cy="432000"/>
                  </a:xfrm>
                  <a:prstGeom prst="rect"/>
                </pic:spPr>
              </pic:pic>
            </a:graphicData>
          </a:graphic>
        </wp:inline>
      </w:drawing>
    </w:r>
    <w:r>
      <w:t xml:space="preserve">  </w:t>
    </w:r>
    <w:r>
      <w:rPr>
        <w:rFonts w:ascii="Arial" w:hAnsi="Arial"/>
        <w:b/>
        <w:sz w:val="18"/>
      </w:rPr>
      <w:t>PT PERTAMINA (PERSERO)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