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32"/>
              </w:rPr>
              <w:t>RENCANA KERJA DAN SYARAT-SYARAT</w:t>
              <w:br/>
              <w:t>(RKS)</w:t>
            </w:r>
          </w:p>
        </w:tc>
      </w:tr>
    </w:tbl>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24"/>
              </w:rPr>
              <w:t>Pembangunan tangki air kapasitas 1000KL</w:t>
            </w:r>
          </w:p>
        </w:tc>
      </w:tr>
    </w:tbl>
    <w:p/>
    <w:p>
      <w:pPr>
        <w:spacing w:before="240" w:after="240"/>
        <w:jc w:val="center"/>
      </w:pPr>
      <w:r>
        <w:rPr>
          <w:rFonts w:ascii="Arial" w:hAnsi="Arial"/>
          <w:b/>
          <w:sz w:val="24"/>
        </w:rPr>
        <w:t>Bidder List No: ______________________________</w:t>
      </w:r>
    </w:p>
    <w:p>
      <w:pPr>
        <w:spacing w:before="240" w:after="120"/>
        <w:jc w:val="center"/>
      </w:pPr>
      <w:r>
        <w:rPr>
          <w:rFonts w:ascii="Arial" w:hAnsi="Arial"/>
          <w:b/>
          <w:sz w:val="24"/>
        </w:rPr>
        <w:t>RESIKO PEKERJAAN (ASPEK CSMS):</w:t>
      </w:r>
    </w:p>
    <w:p>
      <w:pPr>
        <w:spacing w:before="0" w:after="360"/>
        <w:jc w:val="center"/>
      </w:pPr>
      <w:r>
        <w:rPr>
          <w:rFonts w:ascii="Arial" w:hAnsi="Arial"/>
          <w:b/>
          <w:sz w:val="24"/>
        </w:rPr>
        <w:t>☑ HIGH     ☐ MIDDLE     ☐ LOW</w:t>
      </w:r>
    </w:p>
    <w:p>
      <w:pPr>
        <w:jc w:val="center"/>
      </w:pPr>
      <w:r>
        <w:drawing>
          <wp:inline xmlns:a="http://schemas.openxmlformats.org/drawingml/2006/main" xmlns:pic="http://schemas.openxmlformats.org/drawingml/2006/picture">
            <wp:extent cx="1800000" cy="420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9"/>
                    <a:stretch>
                      <a:fillRect/>
                    </a:stretch>
                  </pic:blipFill>
                  <pic:spPr>
                    <a:xfrm>
                      <a:off x="0" y="0"/>
                      <a:ext cx="1800000" cy="420000"/>
                    </a:xfrm>
                    <a:prstGeom prst="rect"/>
                  </pic:spPr>
                </pic:pic>
              </a:graphicData>
            </a:graphic>
          </wp:inline>
        </w:drawing>
      </w:r>
    </w:p>
    <w:p>
      <w:pPr>
        <w:spacing w:before="240" w:after="240"/>
      </w:pPr>
    </w:p>
    <w:p>
      <w:pPr>
        <w:spacing w:before="240" w:after="240"/>
      </w:pPr>
    </w:p>
    <w:p>
      <w:pPr>
        <w:spacing w:before="240" w:after="240"/>
      </w:pPr>
    </w:p>
    <w:p>
      <w:pPr>
        <w:spacing w:before="240" w:after="240"/>
      </w:pPr>
    </w:p>
    <w:p>
      <w:pPr>
        <w:spacing w:before="0" w:after="0"/>
        <w:jc w:val="center"/>
      </w:pPr>
      <w:r>
        <w:rPr>
          <w:rFonts w:ascii="Arial" w:hAnsi="Arial"/>
          <w:b/>
          <w:sz w:val="24"/>
        </w:rPr>
        <w:t>PT PERTAMINA (PERSERO)</w:t>
      </w:r>
    </w:p>
    <w:p>
      <w:pPr>
        <w:sectPr>
          <w:pgSz w:w="12240" w:h="15840"/>
          <w:pgMar w:top="1701" w:right="1417" w:bottom="1417" w:left="1701"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480"/>
        <w:jc w:val="center"/>
      </w:pPr>
      <w:r>
        <w:rPr>
          <w:rFonts w:ascii="Arial" w:hAnsi="Arial"/>
          <w:b/>
          <w:sz w:val="28"/>
        </w:rPr>
        <w:t>LEMBAR PENGESAHAN</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Nama / Jabatan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Tanda Tangan</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Disusun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Kepala Bidang Teknik &amp; Operasi</w:t>
              <w:br/>
              <w:t>Penyusun</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Diperiksa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Manager Proyek Infrastruktur</w:t>
              <w:br/>
              <w:t>Pemeriksa</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Disetujui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Direktur Operasional Regional</w:t>
              <w:br/>
              <w:t>Disetujui</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bl>
    <w:p>
      <w:r>
        <w:br w:type="page"/>
      </w:r>
    </w:p>
    <w:p>
      <w:pPr>
        <w:spacing w:before="480" w:after="360"/>
        <w:jc w:val="center"/>
      </w:pPr>
      <w:r>
        <w:rPr>
          <w:rFonts w:ascii="Arial" w:hAnsi="Arial"/>
          <w:b/>
          <w:sz w:val="28"/>
        </w:rPr>
        <w:t>DAFTAR ISI</w:t>
      </w:r>
    </w:p>
    <w:p>
      <w:r>
        <w:fldChar w:fldCharType="begin"/>
      </w:r>
      <w:r>
        <w:instrText xml:space="preserve"> TOC \o "1-3" \h \z \u </w:instrText>
      </w:r>
      <w:r>
        <w:fldChar w:fldCharType="separate"/>
      </w:r>
      <w:r>
        <w:rPr>
          <w:rFonts w:ascii="Arial" w:hAnsi="Arial"/>
          <w:color w:val="808080"/>
          <w:sz w:val="22"/>
        </w:rPr>
        <w:t>(Tekan F9 di Microsoft Word untuk update Daftar Isi)</w:t>
      </w:r>
      <w:r>
        <w:fldChar w:fldCharType="end"/>
      </w:r>
    </w:p>
    <w:p>
      <w:r>
        <w:br w:type="page"/>
      </w:r>
    </w:p>
    <w:p>
      <w:pPr>
        <w:sectPr>
          <w:pgSz w:w="12240" w:h="15840"/>
          <w:pgMar w:top="1701" w:right="1417" w:bottom="1417" w:left="1701" w:header="720" w:footer="720" w:gutter="0"/>
          <w:cols w:space="720"/>
          <w:docGrid w:linePitch="360"/>
        </w:sectPr>
      </w:pPr>
    </w:p>
    <w:p>
      <w:pPr>
        <w:pStyle w:val="Heading1"/>
      </w:pPr>
      <w:r>
        <w:rPr>
          <w:rFonts w:ascii="Arial" w:hAnsi="Arial"/>
          <w:color w:val="000000"/>
          <w:sz w:val="28"/>
        </w:rPr>
        <w:t>BAB I - PENDAHULUAN</w:t>
      </w:r>
    </w:p>
    <w:p>
      <w:pPr>
        <w:pStyle w:val="Heading2"/>
      </w:pPr>
      <w:r>
        <w:rPr>
          <w:rFonts w:ascii="Arial" w:hAnsi="Arial"/>
          <w:color w:val="000000"/>
          <w:sz w:val="24"/>
        </w:rPr>
        <w:t>1.1 Latar Belakang</w:t>
      </w:r>
    </w:p>
    <w:p>
      <w:pPr>
        <w:spacing w:line="360" w:lineRule="auto" w:after="120"/>
      </w:pPr>
      <w:r>
        <w:rPr>
          <w:rFonts w:ascii="Arial" w:hAnsi="Arial"/>
          <w:sz w:val="24"/>
        </w:rPr>
        <w:t>Dalam rangka mendukung kelancaran operasional dan penyediaan infrastruktur penunjang di Fuel Terminal Ketapang, diperlukan pembangunan tangki air bersih dengan kapasitas 1000KL. Dokumen ini disusun sebagai acuan teknis, administratif, dan contractual bagi KONTRAKTOR dalam melaksanakan pekerjaan secara aman, tepat waktu, sesuai spesifikasi, dan memenuhi standar mutu serta regulasi Pertamina dan Dirjen Migas.</w:t>
      </w:r>
    </w:p>
    <w:p>
      <w:pPr>
        <w:pStyle w:val="Heading2"/>
      </w:pPr>
      <w:r>
        <w:rPr>
          <w:rFonts w:ascii="Arial" w:hAnsi="Arial"/>
          <w:color w:val="000000"/>
          <w:sz w:val="24"/>
        </w:rPr>
        <w:t>1.2 Ruang Lingkup Pekerjaan</w:t>
      </w:r>
    </w:p>
    <w:p>
      <w:pPr>
        <w:pStyle w:val="ListBullet"/>
      </w:pPr>
      <w:r>
        <w:rPr>
          <w:rFonts w:ascii="Arial" w:hAnsi="Arial"/>
          <w:sz w:val="24"/>
        </w:rPr>
        <w:t>Persiapan lapangan, survei engineering, penyusunan shop drawing, fasilitas HSSE, sewa scaffolding, serta mobilisasi/demobilisasi tenaga dan peralatan.</w:t>
      </w:r>
    </w:p>
    <w:p>
      <w:pPr>
        <w:pStyle w:val="ListBullet"/>
      </w:pPr>
      <w:r>
        <w:rPr>
          <w:rFonts w:ascii="Arial" w:hAnsi="Arial"/>
          <w:sz w:val="24"/>
        </w:rPr>
        <w:t>Pekerjaan pondasi meliputi pemancangan spun pile Ø400 mm, galian, urugan pasir pilihan, pembuatan lantai kerja beton, cor beton bertulang pile cap &amp; slab, serta pemasangan asphalt ACWC.</w:t>
      </w:r>
    </w:p>
    <w:p>
      <w:pPr>
        <w:pStyle w:val="ListBullet"/>
      </w:pPr>
      <w:r>
        <w:rPr>
          <w:rFonts w:ascii="Arial" w:hAnsi="Arial"/>
          <w:sz w:val="24"/>
        </w:rPr>
        <w:t>Fabrikasi dan erection tangki air mencakup perakitan plat shell/bottom/roof, pemasangan rangka atap, tangga darurat, platform inlet/outlet, handrail, splash plate, dan sistem grounding.</w:t>
      </w:r>
    </w:p>
    <w:p>
      <w:pPr>
        <w:pStyle w:val="ListBullet"/>
      </w:pPr>
      <w:r>
        <w:rPr>
          <w:rFonts w:ascii="Arial" w:hAnsi="Arial"/>
          <w:sz w:val="24"/>
        </w:rPr>
        <w:t>Sistem pengecatan multi-lapis pada area internal, eksternal, dan underside tangki sesuai standar ketebalan (DFT) dan jenis resin yang ditetapkan.</w:t>
      </w:r>
    </w:p>
    <w:p>
      <w:pPr>
        <w:pStyle w:val="ListBullet"/>
      </w:pPr>
      <w:r>
        <w:rPr>
          <w:rFonts w:ascii="Arial" w:hAnsi="Arial"/>
          <w:sz w:val="24"/>
        </w:rPr>
        <w:t>Instalasi aksesori dan perpipaan termasuk manhole, nozzle, katup pengaman, pipa distribusi, flange, fitting, serta sistem earthing/grounding.</w:t>
      </w:r>
    </w:p>
    <w:p>
      <w:pPr>
        <w:pStyle w:val="ListBullet"/>
      </w:pPr>
      <w:r>
        <w:rPr>
          <w:rFonts w:ascii="Arial" w:hAnsi="Arial"/>
          <w:sz w:val="24"/>
        </w:rPr>
        <w:t>Administrasi proyek meliputi penyusunan as-built drawing, material approval, laporan bulanan, dan pendrafingan standby selama 8 bulan.</w:t>
      </w:r>
    </w:p>
    <w:p>
      <w:pPr>
        <w:pStyle w:val="Heading2"/>
      </w:pPr>
      <w:r>
        <w:rPr>
          <w:rFonts w:ascii="Arial" w:hAnsi="Arial"/>
          <w:color w:val="000000"/>
          <w:sz w:val="24"/>
        </w:rPr>
        <w:t>1.3 Lokasi dan Estimasi Waktu Pelaksanaan</w:t>
      </w:r>
    </w:p>
    <w:p>
      <w:pPr>
        <w:pStyle w:val="Heading1"/>
      </w:pPr>
      <w:r>
        <w:rPr>
          <w:rFonts w:ascii="Arial" w:hAnsi="Arial"/>
          <w:color w:val="000000"/>
          <w:sz w:val="28"/>
        </w:rPr>
        <w:t>BAB II - PERSYARATAN TEKNIS DAN SPESIFIKASI MATERIAL</w:t>
      </w:r>
    </w:p>
    <w:p>
      <w:pPr>
        <w:pStyle w:val="Heading2"/>
      </w:pPr>
      <w:r>
        <w:rPr>
          <w:rFonts w:ascii="Arial" w:hAnsi="Arial"/>
          <w:color w:val="000000"/>
          <w:sz w:val="24"/>
        </w:rPr>
        <w:t>2.1 Spesifikasi Material Utama</w:t>
      </w:r>
    </w:p>
    <w:p>
      <w:pPr>
        <w:pStyle w:val="Heading2"/>
      </w:pPr>
      <w:r>
        <w:rPr>
          <w:rFonts w:ascii="Arial" w:hAnsi="Arial"/>
          <w:color w:val="000000"/>
          <w:sz w:val="24"/>
        </w:rPr>
        <w:t>2.2 Standar Acuan dan Persyaratan Mutu</w:t>
      </w:r>
    </w:p>
    <w:p>
      <w:pPr>
        <w:pStyle w:val="ListNumber"/>
      </w:pPr>
      <w:r>
        <w:rPr>
          <w:rFonts w:ascii="Arial" w:hAnsi="Arial"/>
          <w:sz w:val="24"/>
        </w:rPr>
        <w:t>Seluruh plat baja wajib memenuhi standar ASTM A 283 Grade C; pipa API 5L Grade B; flange ASME B.16.5 Class #150; baut ASTM A193/A194.</w:t>
      </w:r>
    </w:p>
    <w:p>
      <w:pPr>
        <w:pStyle w:val="ListNumber"/>
      </w:pPr>
      <w:r>
        <w:rPr>
          <w:rFonts w:ascii="Arial" w:hAnsi="Arial"/>
          <w:sz w:val="24"/>
        </w:rPr>
        <w:t>Metode pemancangan menggunakan HSPD (Hydraulic Single Purpose Driver) dengan dukungan sewa crane bantu sesuai prosedur engineering.</w:t>
      </w:r>
    </w:p>
    <w:p>
      <w:pPr>
        <w:pStyle w:val="ListNumber"/>
      </w:pPr>
      <w:r>
        <w:rPr>
          <w:rFonts w:ascii="Arial" w:hAnsi="Arial"/>
          <w:sz w:val="24"/>
        </w:rPr>
        <w:t>Persiapan permukaan coating wajib dilakukan blast cleaning mencapai standar ISO 8501-1 : Sa 2.5 / SSPC-SP10 sebelum aplikasi cat.</w:t>
      </w:r>
    </w:p>
    <w:p>
      <w:pPr>
        <w:pStyle w:val="ListNumber"/>
      </w:pPr>
      <w:r>
        <w:rPr>
          <w:rFonts w:ascii="Arial" w:hAnsi="Arial"/>
          <w:sz w:val="24"/>
        </w:rPr>
        <w:t>Ketebalan cat minimum (DFT): Underside bottom 250 µm (2 lapis); Internal 250 µm (2 lapis Amine Adduct Epoxy); Eksternal 275 µm (3 lapis: Zinc Rich → High Solid Epoxy → Aliphatic Polyurethane).</w:t>
      </w:r>
    </w:p>
    <w:p>
      <w:pPr>
        <w:pStyle w:val="ListNumber"/>
      </w:pPr>
      <w:r>
        <w:rPr>
          <w:rFonts w:ascii="Arial" w:hAnsi="Arial"/>
          <w:sz w:val="24"/>
        </w:rPr>
        <w:t>Sistem grounding harus memiliki hambatan tanah maksimum 4 ohm, sesuai ketentuan Dirjen Migas.</w:t>
      </w:r>
    </w:p>
    <w:p>
      <w:pPr>
        <w:pStyle w:val="ListNumber"/>
      </w:pPr>
      <w:r>
        <w:rPr>
          <w:rFonts w:ascii="Arial" w:hAnsi="Arial"/>
          <w:sz w:val="24"/>
        </w:rPr>
        <w:t>Identifikasi visual (list hitam annular luar, 50 cm shell I, logo/marking tangki) wajib mengacu pada Standard Pertamina.</w:t>
      </w:r>
    </w:p>
    <w:p>
      <w:pPr>
        <w:pStyle w:val="ListNumber"/>
      </w:pPr>
      <w:r>
        <w:rPr>
          <w:rFonts w:ascii="Arial" w:hAnsi="Arial"/>
          <w:sz w:val="24"/>
        </w:rPr>
        <w:t>Kualitas beton menggunakan ready mix dengan rasio pembesian rata-rata 150 Kg/m³ untuk elemen struktural pile cap &amp; slab.</w:t>
      </w:r>
    </w:p>
    <w:p>
      <w:pPr>
        <w:pStyle w:val="Heading2"/>
      </w:pPr>
      <w:r>
        <w:rPr>
          <w:rFonts w:ascii="Arial" w:hAnsi="Arial"/>
          <w:color w:val="000000"/>
          <w:sz w:val="24"/>
        </w:rPr>
        <w:t>2.3 Sistem Pengecatan dan Proteksi Korosi</w:t>
      </w:r>
    </w:p>
    <w:p>
      <w:pPr>
        <w:spacing w:line="360" w:lineRule="auto" w:after="120"/>
      </w:pPr>
      <w:r>
        <w:rPr>
          <w:rFonts w:ascii="Arial" w:hAnsi="Arial"/>
          <w:sz w:val="24"/>
        </w:rPr>
        <w:t>Aplikasi sistem pengecatan dilaksanakan secara bertahap setelah verifikasi preparasi permukaan. Area underside bottom dilapisi Epoxy Zinc Rich + Coal Tar Epoxy. Area internal tangki menggunakan Amine Adduct Epoxy (2 lapis) untuk menjamin integritas kontak dengan air. Area eksternal menerapkan sistem proteksi triple-layer: Inorganic Zinc Silicate/Epoxy Zinc Rich sebagai primer, High Solid Epoxy sebagai intermediate, dan Aliphatic Polyurethane sebagai topcoat untuk ketahanan cuaca dan UV. Seluruh aplikasi dicatat dalam Inspection Test Plan (ITP) dan diverifikasi oleh QCI/Pengawas PERUSAHAAN.</w:t>
      </w:r>
    </w:p>
    <w:p>
      <w:pPr>
        <w:pStyle w:val="Heading1"/>
      </w:pPr>
      <w:r>
        <w:rPr>
          <w:rFonts w:ascii="Arial" w:hAnsi="Arial"/>
          <w:color w:val="000000"/>
          <w:sz w:val="28"/>
        </w:rPr>
        <w:t>BAB III - METODE PELAKSANAAN PEKERJAAN</w:t>
      </w:r>
    </w:p>
    <w:p>
      <w:pPr>
        <w:pStyle w:val="Heading2"/>
      </w:pPr>
      <w:r>
        <w:rPr>
          <w:rFonts w:ascii="Arial" w:hAnsi="Arial"/>
          <w:color w:val="000000"/>
          <w:sz w:val="24"/>
        </w:rPr>
        <w:t>3.1 Persiapan Lapangan dan Mobilisasi</w:t>
      </w:r>
    </w:p>
    <w:p>
      <w:pPr>
        <w:pStyle w:val="ListBullet"/>
      </w:pPr>
      <w:r>
        <w:rPr>
          <w:rFonts w:ascii="Arial" w:hAnsi="Arial"/>
          <w:sz w:val="24"/>
        </w:rPr>
        <w:t>Penyediaan direksi kit kontainer, kantor lapangan, dan gudang material terkontrol.</w:t>
      </w:r>
    </w:p>
    <w:p>
      <w:pPr>
        <w:pStyle w:val="ListBullet"/>
      </w:pPr>
      <w:r>
        <w:rPr>
          <w:rFonts w:ascii="Arial" w:hAnsi="Arial"/>
          <w:sz w:val="24"/>
        </w:rPr>
        <w:t>Survei engineering, pengukuran topografi, dan penyusunan shop drawing untuk persetujuan.</w:t>
      </w:r>
    </w:p>
    <w:p>
      <w:pPr>
        <w:pStyle w:val="ListBullet"/>
      </w:pPr>
      <w:r>
        <w:rPr>
          <w:rFonts w:ascii="Arial" w:hAnsi="Arial"/>
          <w:sz w:val="24"/>
        </w:rPr>
        <w:t>Penyiapan fasilitas HSSE lengkap (APD, barrier, signage, emergency response plan) sesuai risiko HIGH.</w:t>
      </w:r>
    </w:p>
    <w:p>
      <w:pPr>
        <w:pStyle w:val="ListBullet"/>
      </w:pPr>
      <w:r>
        <w:rPr>
          <w:rFonts w:ascii="Arial" w:hAnsi="Arial"/>
          <w:sz w:val="24"/>
        </w:rPr>
        <w:t>Sewa scaffolding terstandarisasi dan inspeksi berkala sebelum penggunaan.</w:t>
      </w:r>
    </w:p>
    <w:p>
      <w:pPr>
        <w:pStyle w:val="ListBullet"/>
      </w:pPr>
      <w:r>
        <w:rPr>
          <w:rFonts w:ascii="Arial" w:hAnsi="Arial"/>
          <w:sz w:val="24"/>
        </w:rPr>
        <w:t>Mobilisasi dan demobilisasi seluruh tenaga ahli, operator, dan peralatan berat ke lokasi Fuel Terminal Ketapang.</w:t>
      </w:r>
    </w:p>
    <w:p>
      <w:pPr>
        <w:pStyle w:val="Heading2"/>
      </w:pPr>
      <w:r>
        <w:rPr>
          <w:rFonts w:ascii="Arial" w:hAnsi="Arial"/>
          <w:color w:val="000000"/>
          <w:sz w:val="24"/>
        </w:rPr>
        <w:t>3.2 Pekerjaan Pondasi dan Pemancangan</w:t>
      </w:r>
    </w:p>
    <w:p>
      <w:pPr>
        <w:pStyle w:val="ListNumber"/>
      </w:pPr>
      <w:r>
        <w:rPr>
          <w:rFonts w:ascii="Arial" w:hAnsi="Arial"/>
          <w:sz w:val="24"/>
        </w:rPr>
        <w:t>Pemancangan 25 titik tiang spun pile Ø400 mm dengan total panjang 450 meter (bottom &amp; middle masing-masing 10 m per titik, kedalaman tanam 18 m) menggunakan HSPD.</w:t>
      </w:r>
    </w:p>
    <w:p>
      <w:pPr>
        <w:pStyle w:val="ListNumber"/>
      </w:pPr>
      <w:r>
        <w:rPr>
          <w:rFonts w:ascii="Arial" w:hAnsi="Arial"/>
          <w:sz w:val="24"/>
        </w:rPr>
        <w:t>Pelaksanaan galian pondasi ±167,88 m³ dan urugan pasir pilihan dipadatkan ±720,96 m³.</w:t>
      </w:r>
    </w:p>
    <w:p>
      <w:pPr>
        <w:pStyle w:val="ListNumber"/>
      </w:pPr>
      <w:r>
        <w:rPr>
          <w:rFonts w:ascii="Arial" w:hAnsi="Arial"/>
          <w:sz w:val="24"/>
        </w:rPr>
        <w:t>Pembuatan lantai kerja beton campuran 1:3:5 ±19,13 m³ sebagai dasar pengerjaan struktur atas.</w:t>
      </w:r>
    </w:p>
    <w:p>
      <w:pPr>
        <w:pStyle w:val="ListNumber"/>
      </w:pPr>
      <w:r>
        <w:rPr>
          <w:rFonts w:ascii="Arial" w:hAnsi="Arial"/>
          <w:sz w:val="24"/>
        </w:rPr>
        <w:t>Cor beton bertulang poer/slab menggunakan Ready Mix K300 dengan volume ±75,14 m³ dan bekisting berulang sesuai toleransi dimensi.</w:t>
      </w:r>
    </w:p>
    <w:p>
      <w:pPr>
        <w:pStyle w:val="ListNumber"/>
      </w:pPr>
      <w:r>
        <w:rPr>
          <w:rFonts w:ascii="Arial" w:hAnsi="Arial"/>
          <w:sz w:val="24"/>
        </w:rPr>
        <w:t>Pemasangan lapisan Asphalt ACWC seluas ±110,05 m² pada area jalan akses dan perimeter pondasi.</w:t>
      </w:r>
    </w:p>
    <w:p>
      <w:pPr>
        <w:pStyle w:val="Heading2"/>
      </w:pPr>
      <w:r>
        <w:rPr>
          <w:rFonts w:ascii="Arial" w:hAnsi="Arial"/>
          <w:color w:val="000000"/>
          <w:sz w:val="24"/>
        </w:rPr>
        <w:t>3.3 Fabrikasi dan Erection Tangki</w:t>
      </w:r>
    </w:p>
    <w:p>
      <w:pPr>
        <w:spacing w:line="360" w:lineRule="auto" w:after="120"/>
      </w:pPr>
      <w:r>
        <w:rPr>
          <w:rFonts w:ascii="Arial" w:hAnsi="Arial"/>
          <w:sz w:val="24"/>
        </w:rPr>
        <w:t>Proses fabrikasi dimulai dengan cutting, bending, dan welding plat shell (6 mm, 6 ring, 18.900 kg), bottom plate (8 mm, 8.400 kg), dan roof plate (6 mm, 6.300 kg) di area laydown atau workshop terverifikasi. Setelah quality check welder dan NDT, komponen diangkat menggunakan crane dan dirakit di atas fondasi. Pemasangan rangka atap, tangga darurat, platform inlet/outlet, handrail (dalam &amp; luar), splash plate, dan sistem grounding dilakukan secara paralel dengan memastikan alignment vertikal/horizontal sesuai toleransi ASME. Seluruh sambungan las mengikuti WPS/PQR yang telah disetujui.</w:t>
      </w:r>
    </w:p>
    <w:p>
      <w:pPr>
        <w:pStyle w:val="Heading2"/>
      </w:pPr>
      <w:r>
        <w:rPr>
          <w:rFonts w:ascii="Arial" w:hAnsi="Arial"/>
          <w:color w:val="000000"/>
          <w:sz w:val="24"/>
        </w:rPr>
        <w:t>3.4 Instalasi Aksesori dan Perpipaan</w:t>
      </w:r>
    </w:p>
    <w:p>
      <w:pPr>
        <w:pStyle w:val="ListBullet"/>
      </w:pPr>
      <w:r>
        <w:rPr>
          <w:rFonts w:ascii="Arial" w:hAnsi="Arial"/>
          <w:sz w:val="24"/>
        </w:rPr>
        <w:t>Pemasangan 2× Roof MH (20"), 2× Shell MH (24"), Breather (8"), Emergency Vent (20"), Drain (4").</w:t>
      </w:r>
    </w:p>
    <w:p>
      <w:pPr>
        <w:pStyle w:val="ListBullet"/>
      </w:pPr>
      <w:r>
        <w:rPr>
          <w:rFonts w:ascii="Arial" w:hAnsi="Arial"/>
          <w:sz w:val="24"/>
        </w:rPr>
        <w:t>Instalasi pipa distribusi Ø1,5" sepanjang 18 m beserta Gate Valve 4" (2 unit), Gate Valve 2" (1 unit), PRV, Check Valve, Ball Valve, dan Free Vent Ø6".</w:t>
      </w:r>
    </w:p>
    <w:p>
      <w:pPr>
        <w:pStyle w:val="ListBullet"/>
      </w:pPr>
      <w:r>
        <w:rPr>
          <w:rFonts w:ascii="Arial" w:hAnsi="Arial"/>
          <w:sz w:val="24"/>
        </w:rPr>
        <w:t>Penggunaan flange ASME B.16.5 Class #150 dan fitting ASTM A234 WPB dengan torquing sesuai standar.</w:t>
      </w:r>
    </w:p>
    <w:p>
      <w:pPr>
        <w:pStyle w:val="ListBullet"/>
      </w:pPr>
      <w:r>
        <w:rPr>
          <w:rFonts w:ascii="Arial" w:hAnsi="Arial"/>
          <w:sz w:val="24"/>
        </w:rPr>
        <w:t>Verifikasi sistem earthing/grounding dengan target hambatan ≤4 ohm menggunakan earth tester terkalibrasi.</w:t>
      </w:r>
    </w:p>
    <w:p>
      <w:pPr>
        <w:pStyle w:val="Heading1"/>
      </w:pPr>
      <w:r>
        <w:rPr>
          <w:rFonts w:ascii="Arial" w:hAnsi="Arial"/>
          <w:color w:val="000000"/>
          <w:sz w:val="28"/>
        </w:rPr>
        <w:t>BAB IV - PENGENDALIAN MUTU, HSSE DAN ADMINISTRASI</w:t>
      </w:r>
    </w:p>
    <w:p>
      <w:pPr>
        <w:pStyle w:val="Heading2"/>
      </w:pPr>
      <w:r>
        <w:rPr>
          <w:rFonts w:ascii="Arial" w:hAnsi="Arial"/>
          <w:color w:val="000000"/>
          <w:sz w:val="24"/>
        </w:rPr>
        <w:t>4.1 Quality Control dan Inspeksi</w:t>
      </w:r>
    </w:p>
    <w:p>
      <w:pPr>
        <w:pStyle w:val="ListNumber"/>
      </w:pPr>
      <w:r>
        <w:rPr>
          <w:rFonts w:ascii="Arial" w:hAnsi="Arial"/>
          <w:sz w:val="24"/>
        </w:rPr>
        <w:t>Seluruh pekerjaan fabrikasi, pengelasan, dan instalasi wajib disertai material approval dari supplier terakreditasi.</w:t>
      </w:r>
    </w:p>
    <w:p>
      <w:pPr>
        <w:pStyle w:val="ListNumber"/>
      </w:pPr>
      <w:r>
        <w:rPr>
          <w:rFonts w:ascii="Arial" w:hAnsi="Arial"/>
          <w:sz w:val="24"/>
        </w:rPr>
        <w:t>Shop drawing harus terverifikasi oleh tim engineering PERUSAHAAN sebelum pelaksanaan di lapangan.</w:t>
      </w:r>
    </w:p>
    <w:p>
      <w:pPr>
        <w:pStyle w:val="ListNumber"/>
      </w:pPr>
      <w:r>
        <w:rPr>
          <w:rFonts w:ascii="Arial" w:hAnsi="Arial"/>
          <w:sz w:val="24"/>
        </w:rPr>
        <w:t>Inspeksi berkala meliputi dimensional check, weld inspection (VT/MT/PT/RT sesuai kebutuhan), coating DFT measurement, dan pressure test.</w:t>
      </w:r>
    </w:p>
    <w:p>
      <w:pPr>
        <w:pStyle w:val="ListNumber"/>
      </w:pPr>
      <w:r>
        <w:rPr>
          <w:rFonts w:ascii="Arial" w:hAnsi="Arial"/>
          <w:sz w:val="24"/>
        </w:rPr>
        <w:t>Penerapan ITP (Inspection Test Plan) dan Hold/Witness points yang harus dihadiri Pengawas PERUSAHAAN.</w:t>
      </w:r>
    </w:p>
    <w:p>
      <w:pPr>
        <w:pStyle w:val="ListNumber"/>
      </w:pPr>
      <w:r>
        <w:rPr>
          <w:rFonts w:ascii="Arial" w:hAnsi="Arial"/>
          <w:sz w:val="24"/>
        </w:rPr>
        <w:t>Acceptance criteria merujuk pada standar ASTM, ASME, ISO, dan regulasi Pertamina/Dirjen Migas yang berlaku.</w:t>
      </w:r>
    </w:p>
    <w:p>
      <w:pPr>
        <w:pStyle w:val="Heading2"/>
      </w:pPr>
      <w:r>
        <w:rPr>
          <w:rFonts w:ascii="Arial" w:hAnsi="Arial"/>
          <w:color w:val="000000"/>
          <w:sz w:val="24"/>
        </w:rPr>
        <w:t>4.2 Manajemen HSSE (CSMS HIGH)</w:t>
      </w:r>
    </w:p>
    <w:p>
      <w:pPr>
        <w:pStyle w:val="ListBullet"/>
      </w:pPr>
      <w:r>
        <w:rPr>
          <w:rFonts w:ascii="Arial" w:hAnsi="Arial"/>
          <w:sz w:val="24"/>
        </w:rPr>
        <w:t>Selama pelaksanaan pekerjaan, KONTRAKTOR harus selalu koordinasi dengan Pengawas PERUSAHAAN yang bersangkutan.</w:t>
      </w:r>
    </w:p>
    <w:p>
      <w:pPr>
        <w:pStyle w:val="ListBullet"/>
      </w:pPr>
      <w:r>
        <w:rPr>
          <w:rFonts w:ascii="Arial" w:hAnsi="Arial"/>
          <w:sz w:val="24"/>
        </w:rPr>
        <w:t>Pelaksanaan daily toolbox meeting, permit to work (PTW), dan gas testing sebelum masuk confined space/area terbatas.</w:t>
      </w:r>
    </w:p>
    <w:p>
      <w:pPr>
        <w:pStyle w:val="ListBullet"/>
      </w:pPr>
      <w:r>
        <w:rPr>
          <w:rFonts w:ascii="Arial" w:hAnsi="Arial"/>
          <w:sz w:val="24"/>
        </w:rPr>
        <w:t>Penyediaan APD lengkap, barrier fisik, dan signage keselamatan sesuai standar Pertamina.</w:t>
      </w:r>
    </w:p>
    <w:p>
      <w:pPr>
        <w:pStyle w:val="ListBullet"/>
      </w:pPr>
      <w:r>
        <w:rPr>
          <w:rFonts w:ascii="Arial" w:hAnsi="Arial"/>
          <w:sz w:val="24"/>
        </w:rPr>
        <w:t>Memastikan semua area kerja bersih dari sisa material dan pekerjaan (contoh: besi, kayu, pasir sand blast, kemasan material, kertas, dan lain-lain).</w:t>
      </w:r>
    </w:p>
    <w:p>
      <w:pPr>
        <w:pStyle w:val="ListBullet"/>
      </w:pPr>
      <w:r>
        <w:rPr>
          <w:rFonts w:ascii="Arial" w:hAnsi="Arial"/>
          <w:sz w:val="24"/>
        </w:rPr>
        <w:t>Melakukan intervensi jika menemukan personil yang membuang sampah sembarangan serta meninggalkan sisa material dan pekerjaan di area kerja.</w:t>
      </w:r>
    </w:p>
    <w:p>
      <w:pPr>
        <w:pStyle w:val="Heading2"/>
      </w:pPr>
      <w:r>
        <w:rPr>
          <w:rFonts w:ascii="Arial" w:hAnsi="Arial"/>
          <w:color w:val="000000"/>
          <w:sz w:val="24"/>
        </w:rPr>
        <w:t>4.3 Administrasi dan Dokumentasi Proyek</w:t>
      </w:r>
    </w:p>
    <w:p>
      <w:pPr>
        <w:spacing w:line="360" w:lineRule="auto" w:after="120"/>
      </w:pPr>
      <w:r>
        <w:rPr>
          <w:rFonts w:ascii="Arial" w:hAnsi="Arial"/>
          <w:sz w:val="24"/>
        </w:rPr>
        <w:t>KONTRAKTOR diwajibkan menyiapkan/mengumpulkan dokumen-dokumen yang berkaitan dengan pekerjaan saat pelaksanaan pekerjaan dan setelah pekerjaan selesai (dibuat 3 copy/buah) dan diserahkan ke PERUSAHAAN (MA, SSIE dan Equip. OH). Dokumentasi mencakup shop drawing, as-built drawing, material approval certificates, laporan bulanan progres, foto dokumentasi, dan hasil inspeksi QC. Pendrafingan standby selama 8 bulan pasca-serah terima wajib disediakan untuk keperluan revisi atau audit.</w:t>
      </w:r>
    </w:p>
    <w:p>
      <w:pPr>
        <w:pStyle w:val="Heading1"/>
      </w:pPr>
      <w:r>
        <w:rPr>
          <w:rFonts w:ascii="Arial" w:hAnsi="Arial"/>
          <w:color w:val="000000"/>
          <w:sz w:val="28"/>
        </w:rPr>
        <w:t>BAB V - SYARAT KEWANNIBAGIAN, LAYANAN DAN PENYELESAIAN PEKERJAAN</w:t>
      </w:r>
    </w:p>
    <w:p>
      <w:pPr>
        <w:pStyle w:val="Heading2"/>
      </w:pPr>
      <w:r>
        <w:rPr>
          <w:rFonts w:ascii="Arial" w:hAnsi="Arial"/>
          <w:color w:val="000000"/>
          <w:sz w:val="24"/>
        </w:rPr>
        <w:t>5.1 Layanan dan Fasilitas yang Disediakan KONTRAKTOR</w:t>
      </w:r>
    </w:p>
    <w:p>
      <w:pPr>
        <w:pStyle w:val="ListNumber"/>
      </w:pPr>
      <w:r>
        <w:rPr>
          <w:rFonts w:ascii="Arial" w:hAnsi="Arial"/>
          <w:sz w:val="24"/>
        </w:rPr>
        <w:t>Alat pemadam kebakaran yang tersebar strategis di area kerja dan gudang material.</w:t>
      </w:r>
    </w:p>
    <w:p>
      <w:pPr>
        <w:pStyle w:val="ListNumber"/>
      </w:pPr>
      <w:r>
        <w:rPr>
          <w:rFonts w:ascii="Arial" w:hAnsi="Arial"/>
          <w:sz w:val="24"/>
        </w:rPr>
        <w:t>First aid station dan personel pertolongan pertama dalam hal terjadi kecelakaan kerja.</w:t>
      </w:r>
    </w:p>
    <w:p>
      <w:pPr>
        <w:pStyle w:val="ListNumber"/>
      </w:pPr>
      <w:r>
        <w:rPr>
          <w:rFonts w:ascii="Arial" w:hAnsi="Arial"/>
          <w:sz w:val="24"/>
        </w:rPr>
        <w:t>Air laut untuk Hydrotest dan pembersihan sistem perpipaan.</w:t>
      </w:r>
    </w:p>
    <w:p>
      <w:pPr>
        <w:pStyle w:val="ListNumber"/>
      </w:pPr>
      <w:r>
        <w:rPr>
          <w:rFonts w:ascii="Arial" w:hAnsi="Arial"/>
          <w:sz w:val="24"/>
        </w:rPr>
        <w:t>Bahan Bakar untuk Kompressor, Mesin Las, Genset dan Crane selama masa konstruksi.</w:t>
      </w:r>
    </w:p>
    <w:p>
      <w:pPr>
        <w:pStyle w:val="Heading2"/>
      </w:pPr>
      <w:r>
        <w:rPr>
          <w:rFonts w:ascii="Arial" w:hAnsi="Arial"/>
          <w:color w:val="000000"/>
          <w:sz w:val="24"/>
        </w:rPr>
        <w:t>5.2 Material, Peralatan dan Mobilisasi/Demobilisasi</w:t>
      </w:r>
    </w:p>
    <w:p>
      <w:pPr>
        <w:spacing w:line="360" w:lineRule="auto" w:after="120"/>
      </w:pPr>
      <w:r>
        <w:rPr>
          <w:rFonts w:ascii="Arial" w:hAnsi="Arial"/>
          <w:sz w:val="24"/>
        </w:rPr>
        <w:t>Material dihitung langsung di dalam setiap item pekerjaan kecuali ditentukan lain yang disebutkan dalam RAB, antara lain: Kawat gouging, consumable las, scaffolding, crane, HSPD, dan peralatan ukur. Setiap material dan peralatan yang masuk ke dan keluar dari area PERUSAHAAN harus dilengkapi surat pengantar dan melalui pemeriksaan Security (Pintu-III untuk Kilang dan Pintu VIII untuk Terminal). KONTRAKTOR bertanggung jawab penuh atas keamanan, penyimpanan, dan penggantian material yang rusak atau hilang akibat kelalaian.</w:t>
      </w:r>
    </w:p>
    <w:p>
      <w:pPr>
        <w:pStyle w:val="Heading2"/>
      </w:pPr>
      <w:r>
        <w:rPr>
          <w:rFonts w:ascii="Arial" w:hAnsi="Arial"/>
          <w:color w:val="000000"/>
          <w:sz w:val="24"/>
        </w:rPr>
        <w:t>5.3 Penalti, Penghentian Kontrak dan Serah Terima</w:t>
      </w:r>
    </w:p>
    <w:p>
      <w:pPr>
        <w:spacing w:line="360" w:lineRule="auto" w:after="120"/>
      </w:pPr>
      <w:r>
        <w:rPr>
          <w:rFonts w:ascii="Arial" w:hAnsi="Arial"/>
          <w:sz w:val="24"/>
        </w:rPr>
        <w:t>Apabila KONTRAKTOR melanggar klausul teknis, jadwal, atau HSSE yang telah disepakati, PERUSAHAAN berhak menjatuhkan sanksi denda (penalti) sesuai perhitungan dalam kontrak. Putus kontrak secara sepihak dapat dilakukan sesuai dengan aturan yang berlaku dalam surat kontrak yang ditandatangani para PIHAK. Serah terima pekerjaan dilakukan setelah seluruh pekerjaan selesai, lulus uji fungsi/hydrotest, dan dokumen as-built lengkap. Berita Acara Serah Terima (BAST) menjadi dasar pembayaran akhir dan dimulainya masa garansi/perawatan.</w:t>
      </w:r>
    </w:p>
    <w:sectPr w:rsidR="00FC693F" w:rsidRPr="0006063C" w:rsidSect="00034616">
      <w:headerReference w:type="default" r:id="rId10"/>
      <w:footerReference w:type="default" r:id="rId11"/>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rPr>
        <w:rFonts w:ascii="Arial" w:hAnsi="Arial"/>
        <w:sz w:val="16"/>
      </w:rPr>
      <w:t xml:space="preserve">No. Dok: RKS-[2141215]-[2026]  |  </w:t>
    </w:r>
    <w:r>
      <w:rPr>
        <w:rFonts w:ascii="Arial" w:hAnsi="Arial"/>
        <w:sz w:val="16"/>
      </w:rPr>
      <w:t xml:space="preserve">Hal.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drawing>
        <wp:inline xmlns:a="http://schemas.openxmlformats.org/drawingml/2006/main" xmlns:pic="http://schemas.openxmlformats.org/drawingml/2006/picture">
          <wp:extent cx="1851429" cy="432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1"/>
                  <a:stretch>
                    <a:fillRect/>
                  </a:stretch>
                </pic:blipFill>
                <pic:spPr>
                  <a:xfrm>
                    <a:off x="0" y="0"/>
                    <a:ext cx="1851429" cy="432000"/>
                  </a:xfrm>
                  <a:prstGeom prst="rect"/>
                </pic:spPr>
              </pic:pic>
            </a:graphicData>
          </a:graphic>
        </wp:inline>
      </w:drawing>
    </w:r>
    <w:r>
      <w:t xml:space="preserve">  </w:t>
    </w:r>
    <w:r>
      <w:rPr>
        <w:rFonts w:ascii="Arial" w:hAnsi="Arial"/>
        <w:b/>
        <w:sz w:val="18"/>
      </w:rPr>
      <w:t>PT PERTAMINA (PERSERO)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