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jc w:val="center"/>
        <w:tblLook w:firstColumn="1" w:firstRow="1" w:lastColumn="0" w:lastRow="0" w:noHBand="0" w:noVBand="1" w:val="04A0"/>
      </w:tblPr>
      <w:tblGrid>
        <w:gridCol w:w="9122"/>
      </w:tblGrid>
      <w:tr>
        <w:tc>
          <w:tcPr>
            <w:tcW w:type="dxa" w:w="9122"/>
            <w:tcBorders>
              <w:top w:val="single" w:sz="8" w:space="0" w:color="000000"/>
              <w:bottom w:val="single" w:sz="8" w:space="0" w:color="000000"/>
              <w:left w:val="single" w:sz="8" w:space="0" w:color="000000"/>
              <w:right w:val="single" w:sz="8" w:space="0" w:color="000000"/>
            </w:tcBorders>
          </w:tcPr>
          <w:p>
            <w:pPr>
              <w:jc w:val="center"/>
            </w:pPr>
            <w:r>
              <w:rPr>
                <w:rFonts w:ascii="Arial" w:hAnsi="Arial"/>
                <w:b/>
                <w:sz w:val="32"/>
              </w:rPr>
              <w:t>RENCANA KERJA DAN SYARAT-SYARAT</w:t>
              <w:br/>
              <w:t>(RKS)</w:t>
            </w:r>
          </w:p>
        </w:tc>
      </w:tr>
    </w:tbl>
    <w:p/>
    <w:tbl>
      <w:tblPr>
        <w:tblW w:type="auto" w:w="0"/>
        <w:jc w:val="center"/>
        <w:tblLook w:firstColumn="1" w:firstRow="1" w:lastColumn="0" w:lastRow="0" w:noHBand="0" w:noVBand="1" w:val="04A0"/>
      </w:tblPr>
      <w:tblGrid>
        <w:gridCol w:w="9122"/>
      </w:tblGrid>
      <w:tr>
        <w:tc>
          <w:tcPr>
            <w:tcW w:type="dxa" w:w="9122"/>
            <w:tcBorders>
              <w:top w:val="single" w:sz="8" w:space="0" w:color="000000"/>
              <w:bottom w:val="single" w:sz="8" w:space="0" w:color="000000"/>
              <w:left w:val="single" w:sz="8" w:space="0" w:color="000000"/>
              <w:right w:val="single" w:sz="8" w:space="0" w:color="000000"/>
            </w:tcBorders>
          </w:tcPr>
          <w:p>
            <w:pPr>
              <w:jc w:val="center"/>
            </w:pPr>
            <w:r>
              <w:rPr>
                <w:rFonts w:ascii="Arial" w:hAnsi="Arial"/>
                <w:b/>
                <w:sz w:val="24"/>
              </w:rPr>
              <w:t>Konstruksi Tangki air - Pembuatan tangki air kapasitas 1000KL</w:t>
            </w:r>
          </w:p>
        </w:tc>
      </w:tr>
    </w:tbl>
    <w:p/>
    <w:p>
      <w:pPr>
        <w:spacing w:before="240" w:after="240"/>
        <w:jc w:val="center"/>
      </w:pPr>
      <w:r>
        <w:rPr>
          <w:rFonts w:ascii="Arial" w:hAnsi="Arial"/>
          <w:b/>
          <w:sz w:val="24"/>
        </w:rPr>
        <w:t>Bidder List No: ______________________________</w:t>
      </w:r>
    </w:p>
    <w:p>
      <w:pPr>
        <w:spacing w:before="240" w:after="120"/>
        <w:jc w:val="center"/>
      </w:pPr>
      <w:r>
        <w:rPr>
          <w:rFonts w:ascii="Arial" w:hAnsi="Arial"/>
          <w:b/>
          <w:sz w:val="24"/>
        </w:rPr>
        <w:t>RESIKO PEKERJAAN (ASPEK CSMS):</w:t>
      </w:r>
    </w:p>
    <w:p>
      <w:pPr>
        <w:spacing w:before="0" w:after="360"/>
        <w:jc w:val="center"/>
      </w:pPr>
      <w:r>
        <w:rPr>
          <w:rFonts w:ascii="Arial" w:hAnsi="Arial"/>
          <w:b/>
          <w:sz w:val="24"/>
        </w:rPr>
        <w:t>☑ HIGH     ☐ MIDDLE     ☐ LOW</w:t>
      </w:r>
    </w:p>
    <w:p>
      <w:pPr>
        <w:jc w:val="center"/>
      </w:pPr>
      <w:r>
        <w:drawing>
          <wp:inline xmlns:a="http://schemas.openxmlformats.org/drawingml/2006/main" xmlns:pic="http://schemas.openxmlformats.org/drawingml/2006/picture">
            <wp:extent cx="1800000" cy="420000"/>
            <wp:docPr id="1" name="Picture 1"/>
            <wp:cNvGraphicFramePr>
              <a:graphicFrameLocks noChangeAspect="1"/>
            </wp:cNvGraphicFramePr>
            <a:graphic>
              <a:graphicData uri="http://schemas.openxmlformats.org/drawingml/2006/picture">
                <pic:pic>
                  <pic:nvPicPr>
                    <pic:cNvPr id="0" name="logo_pertamina.png"/>
                    <pic:cNvPicPr/>
                  </pic:nvPicPr>
                  <pic:blipFill>
                    <a:blip r:embed="rId9"/>
                    <a:stretch>
                      <a:fillRect/>
                    </a:stretch>
                  </pic:blipFill>
                  <pic:spPr>
                    <a:xfrm>
                      <a:off x="0" y="0"/>
                      <a:ext cx="1800000" cy="420000"/>
                    </a:xfrm>
                    <a:prstGeom prst="rect"/>
                  </pic:spPr>
                </pic:pic>
              </a:graphicData>
            </a:graphic>
          </wp:inline>
        </w:drawing>
      </w:r>
    </w:p>
    <w:p>
      <w:pPr>
        <w:spacing w:before="240" w:after="240"/>
      </w:pPr>
    </w:p>
    <w:p>
      <w:pPr>
        <w:spacing w:before="240" w:after="240"/>
      </w:pPr>
    </w:p>
    <w:p>
      <w:pPr>
        <w:spacing w:before="240" w:after="240"/>
      </w:pPr>
    </w:p>
    <w:p>
      <w:pPr>
        <w:spacing w:before="240" w:after="240"/>
      </w:pPr>
    </w:p>
    <w:p>
      <w:pPr>
        <w:spacing w:before="0" w:after="0"/>
        <w:jc w:val="center"/>
      </w:pPr>
      <w:r>
        <w:rPr>
          <w:rFonts w:ascii="Arial" w:hAnsi="Arial"/>
          <w:b/>
          <w:sz w:val="24"/>
        </w:rPr>
        <w:t>PT PERTAMINA (PERSERO)</w:t>
      </w:r>
    </w:p>
    <w:p>
      <w:pPr>
        <w:sectPr>
          <w:pgSz w:w="12240" w:h="15840"/>
          <w:pgMar w:top="1701" w:right="1417" w:bottom="1417" w:left="1701"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480" w:after="480"/>
        <w:jc w:val="center"/>
      </w:pPr>
      <w:r>
        <w:rPr>
          <w:rFonts w:ascii="Arial" w:hAnsi="Arial"/>
          <w:b/>
          <w:sz w:val="28"/>
        </w:rPr>
        <w:t>LEMBAR PENGESAHAN</w:t>
      </w:r>
    </w:p>
    <w:tbl>
      <w:tblPr>
        <w:tblW w:type="auto" w:w="0"/>
        <w:jc w:val="center"/>
        <w:tblLook w:firstColumn="1" w:firstRow="1" w:lastColumn="0" w:lastRow="0" w:noHBand="0" w:noVBand="1" w:val="04A0"/>
      </w:tblPr>
      <w:tblGrid>
        <w:gridCol w:w="3041"/>
        <w:gridCol w:w="3041"/>
        <w:gridCol w:w="3041"/>
      </w:tblGrid>
      <w:tr>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Nama / Jabatan</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Tanda Tangan</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Disusun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Kontraktor / Penyedia Jasa</w:t>
              <w:br/>
              <w:t>Project Manager</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Diperiksa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Pengawas Lapangan</w:t>
              <w:br/>
              <w:t>Site Supervisor</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Disetujui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Manajer Operasional</w:t>
              <w:br/>
              <w:t>Operations Manager</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bl>
    <w:p>
      <w:r>
        <w:br w:type="page"/>
      </w:r>
    </w:p>
    <w:p>
      <w:pPr>
        <w:spacing w:before="480" w:after="360"/>
        <w:jc w:val="center"/>
      </w:pPr>
      <w:r>
        <w:rPr>
          <w:rFonts w:ascii="Arial" w:hAnsi="Arial"/>
          <w:b/>
          <w:sz w:val="28"/>
        </w:rPr>
        <w:t>DAFTAR ISI</w:t>
      </w:r>
    </w:p>
    <w:p>
      <w:r>
        <w:fldChar w:fldCharType="begin"/>
      </w:r>
      <w:r>
        <w:instrText xml:space="preserve"> TOC \o "1-3" \h \z \u </w:instrText>
      </w:r>
      <w:r>
        <w:fldChar w:fldCharType="separate"/>
      </w:r>
      <w:r>
        <w:rPr>
          <w:rFonts w:ascii="Arial" w:hAnsi="Arial"/>
          <w:color w:val="808080"/>
          <w:sz w:val="22"/>
        </w:rPr>
        <w:t>(Tekan F9 di Microsoft Word untuk update Daftar Isi)</w:t>
      </w:r>
      <w:r>
        <w:fldChar w:fldCharType="end"/>
      </w:r>
    </w:p>
    <w:p>
      <w:r>
        <w:br w:type="page"/>
      </w:r>
    </w:p>
    <w:p>
      <w:pPr>
        <w:sectPr>
          <w:pgSz w:w="12240" w:h="15840"/>
          <w:pgMar w:top="1701" w:right="1417" w:bottom="1417" w:left="1701" w:header="720" w:footer="720" w:gutter="0"/>
          <w:cols w:space="720"/>
          <w:docGrid w:linePitch="360"/>
        </w:sectPr>
      </w:pPr>
    </w:p>
    <w:p>
      <w:pPr>
        <w:pStyle w:val="Heading1"/>
      </w:pPr>
      <w:r>
        <w:rPr>
          <w:rFonts w:ascii="Arial" w:hAnsi="Arial"/>
          <w:color w:val="000000"/>
          <w:sz w:val="28"/>
        </w:rPr>
        <w:t>BAB I - UMUM</w:t>
      </w:r>
    </w:p>
    <w:p>
      <w:pPr>
        <w:pStyle w:val="Heading2"/>
      </w:pPr>
      <w:r>
        <w:rPr>
          <w:rFonts w:ascii="Arial" w:hAnsi="Arial"/>
          <w:color w:val="000000"/>
          <w:sz w:val="24"/>
        </w:rPr>
        <w:t>1.1 Latar Belakang dan Tujuan</w:t>
      </w:r>
    </w:p>
    <w:p>
      <w:pPr>
        <w:spacing w:line="360" w:lineRule="auto" w:after="120"/>
      </w:pPr>
      <w:r>
        <w:rPr>
          <w:rFonts w:ascii="Arial" w:hAnsi="Arial"/>
          <w:sz w:val="24"/>
        </w:rPr>
        <w:t>Dokumen ini menyusun Rencana Kerja dan Syarat-Syarat (RKS) untuk pekerjaan Konstruksi Tangki Air Kapasitas 1000 KL di lokasi Fuel Terminal Pematang Siantar. Pekerjaan dilaksanakan dengan tingkat risiko CSMS HIGH guna menjamin keamanan, kualitas, dan ketepatan waktu sesuai standar PT Pertamina (Persero) serta regulasi industri minyak dan gas.</w:t>
      </w:r>
    </w:p>
    <w:p>
      <w:pPr>
        <w:pStyle w:val="Heading2"/>
      </w:pPr>
      <w:r>
        <w:rPr>
          <w:rFonts w:ascii="Arial" w:hAnsi="Arial"/>
          <w:color w:val="000000"/>
          <w:sz w:val="24"/>
        </w:rPr>
        <w:t>1.2 Ruang Lingkup Pekerjaan</w:t>
      </w:r>
    </w:p>
    <w:p>
      <w:pPr>
        <w:pStyle w:val="ListBullet"/>
      </w:pPr>
      <w:r>
        <w:rPr>
          <w:rFonts w:ascii="Arial" w:hAnsi="Arial"/>
          <w:sz w:val="24"/>
        </w:rPr>
        <w:t>Persiapan lapangan dan logistik termasuk pendirian direksi kit serta survei engineering.</w:t>
      </w:r>
    </w:p>
    <w:p>
      <w:pPr>
        <w:pStyle w:val="ListBullet"/>
      </w:pPr>
      <w:r>
        <w:rPr>
          <w:rFonts w:ascii="Arial" w:hAnsi="Arial"/>
          <w:sz w:val="24"/>
        </w:rPr>
        <w:t>Pekerjaan pondasi meliputi pemancangan spun pile, galian, urugan, dan pengecoran pile cap.</w:t>
      </w:r>
    </w:p>
    <w:p>
      <w:pPr>
        <w:pStyle w:val="ListBullet"/>
      </w:pPr>
      <w:r>
        <w:rPr>
          <w:rFonts w:ascii="Arial" w:hAnsi="Arial"/>
          <w:sz w:val="24"/>
        </w:rPr>
        <w:t>Konstruksi tangki timbun mencakup pengadaan plat, pengerollan, pengelasan, dan erection menggunakan crane darat 25 ton.</w:t>
      </w:r>
    </w:p>
    <w:p>
      <w:pPr>
        <w:pStyle w:val="ListBullet"/>
      </w:pPr>
      <w:r>
        <w:rPr>
          <w:rFonts w:ascii="Arial" w:hAnsi="Arial"/>
          <w:sz w:val="24"/>
        </w:rPr>
        <w:t>Pengujian hidrolik, dokumentasi as-built, serta pelaporan berkala selama masa konstruksi.</w:t>
      </w:r>
    </w:p>
    <w:p>
      <w:pPr>
        <w:pStyle w:val="Heading2"/>
      </w:pPr>
      <w:r>
        <w:rPr>
          <w:rFonts w:ascii="Arial" w:hAnsi="Arial"/>
          <w:color w:val="000000"/>
          <w:sz w:val="24"/>
        </w:rPr>
        <w:t>1.3 Acuan Teknis dan Standar</w:t>
      </w:r>
    </w:p>
    <w:p>
      <w:pPr>
        <w:pStyle w:val="ListNumber"/>
      </w:pPr>
      <w:r>
        <w:rPr>
          <w:rFonts w:ascii="Arial" w:hAnsi="Arial"/>
          <w:sz w:val="24"/>
        </w:rPr>
        <w:t>ASTM A 283 Grade C untuk spesifikasi plat tangki.</w:t>
      </w:r>
    </w:p>
    <w:p>
      <w:pPr>
        <w:pStyle w:val="ListNumber"/>
      </w:pPr>
      <w:r>
        <w:rPr>
          <w:rFonts w:ascii="Arial" w:hAnsi="Arial"/>
          <w:sz w:val="24"/>
        </w:rPr>
        <w:t>SNI dan standar industri minyak &amp; gas terkait konstruksi tangki tekanan rendah.</w:t>
      </w:r>
    </w:p>
    <w:p>
      <w:pPr>
        <w:pStyle w:val="ListNumber"/>
      </w:pPr>
      <w:r>
        <w:rPr>
          <w:rFonts w:ascii="Arial" w:hAnsi="Arial"/>
          <w:sz w:val="24"/>
        </w:rPr>
        <w:t>Prosedur HSSE internal PT Pertamina (Persero) dan kontrak yang berlaku.</w:t>
      </w:r>
    </w:p>
    <w:p>
      <w:pPr>
        <w:pStyle w:val="ListNumber"/>
      </w:pPr>
      <w:r>
        <w:rPr>
          <w:rFonts w:ascii="Arial" w:hAnsi="Arial"/>
          <w:sz w:val="24"/>
        </w:rPr>
        <w:t>Bill of Quantity (BOQ) dan spesifikasi teknis terlampir dalam dokumen tender.</w:t>
      </w:r>
    </w:p>
    <w:p>
      <w:pPr>
        <w:pStyle w:val="Heading1"/>
      </w:pPr>
      <w:r>
        <w:rPr>
          <w:rFonts w:ascii="Arial" w:hAnsi="Arial"/>
          <w:color w:val="000000"/>
          <w:sz w:val="28"/>
        </w:rPr>
        <w:t>BAB II - PERSYARATAN TEKNIS DAN MATERIAL</w:t>
      </w:r>
    </w:p>
    <w:p>
      <w:pPr>
        <w:pStyle w:val="Heading2"/>
      </w:pPr>
      <w:r>
        <w:rPr>
          <w:rFonts w:ascii="Arial" w:hAnsi="Arial"/>
          <w:color w:val="000000"/>
          <w:sz w:val="24"/>
        </w:rPr>
        <w:t>2.1 Spesifikasi Material Utama</w:t>
      </w:r>
    </w:p>
    <w:p>
      <w:pPr>
        <w:pStyle w:val="ListBullet"/>
      </w:pPr>
      <w:r>
        <w:rPr>
          <w:rFonts w:ascii="Arial" w:hAnsi="Arial"/>
          <w:sz w:val="24"/>
        </w:rPr>
        <w:t>Plat Tangki: ASTM A 283 Grade C, tebal 6 mm, ukuran 6' x 20', berat ±525 kg/lembar.</w:t>
      </w:r>
    </w:p>
    <w:p>
      <w:pPr>
        <w:pStyle w:val="ListBullet"/>
      </w:pPr>
      <w:r>
        <w:rPr>
          <w:rFonts w:ascii="Arial" w:hAnsi="Arial"/>
          <w:sz w:val="24"/>
        </w:rPr>
        <w:t>Spun Pile: Diameter 400 mm tipe A3, mutu beton K450, kedalaman pancang 18 m.</w:t>
      </w:r>
    </w:p>
    <w:p>
      <w:pPr>
        <w:pStyle w:val="ListBullet"/>
      </w:pPr>
      <w:r>
        <w:rPr>
          <w:rFonts w:ascii="Arial" w:hAnsi="Arial"/>
          <w:sz w:val="24"/>
        </w:rPr>
        <w:t>Beton Cor &amp; Ready Mix: Mutu K250 (terusan &amp; lantai kerja) dan K300 (pile cap &amp; slab) dengan tulangan 150 kg/m³.</w:t>
      </w:r>
    </w:p>
    <w:p>
      <w:pPr>
        <w:pStyle w:val="ListBullet"/>
      </w:pPr>
      <w:r>
        <w:rPr>
          <w:rFonts w:ascii="Arial" w:hAnsi="Arial"/>
          <w:sz w:val="24"/>
        </w:rPr>
        <w:t>Fasilitas &amp; Peralatan: Container direksi kit 40 ft (2 set), scaffolding, genset 10 KVA, crane darat 25 ton, HSPD, dan perlengkapan HSSE lengkap.</w:t>
      </w:r>
    </w:p>
    <w:p>
      <w:pPr>
        <w:pStyle w:val="Heading2"/>
      </w:pPr>
      <w:r>
        <w:rPr>
          <w:rFonts w:ascii="Arial" w:hAnsi="Arial"/>
          <w:color w:val="000000"/>
          <w:sz w:val="24"/>
        </w:rPr>
        <w:t>2.2 Kuantitas dan Volume Pekerjaan</w:t>
      </w:r>
    </w:p>
    <w:p>
      <w:pPr>
        <w:spacing w:line="360" w:lineRule="auto" w:after="120"/>
      </w:pPr>
      <w:r>
        <w:rPr>
          <w:rFonts w:ascii="Arial" w:hAnsi="Arial"/>
          <w:sz w:val="24"/>
        </w:rPr>
        <w:t>Total volume pekerjaan mencakup 25 titik spun pile dengan terusan tiang pancang berukuran 0,6 x 0,6 x 2,4 m. Konstruksi tangki memerlukan estimasi ±18.900 kg plat shell (Ring I–VI) dan ±75,14 m³ beton bertulang ready mix. Pekerjaan galian, urugan pasir pilihan, serta pemasangan batu kali memiliki volume bervariasi antara ±25 m³ hingga ±138 m³ sesuai detail BOQ. Bekisting pemakaian ulang diperkirakan mencapai ±24,47 m².</w:t>
      </w:r>
    </w:p>
    <w:p>
      <w:pPr>
        <w:pStyle w:val="Heading2"/>
      </w:pPr>
      <w:r>
        <w:rPr>
          <w:rFonts w:ascii="Arial" w:hAnsi="Arial"/>
          <w:color w:val="000000"/>
          <w:sz w:val="24"/>
        </w:rPr>
        <w:t>2.3 Persyaratan Mutu dan Geometri</w:t>
      </w:r>
    </w:p>
    <w:p>
      <w:pPr>
        <w:pStyle w:val="ListNumber"/>
      </w:pPr>
      <w:r>
        <w:rPr>
          <w:rFonts w:ascii="Arial" w:hAnsi="Arial"/>
          <w:sz w:val="24"/>
        </w:rPr>
        <w:t>Mutu material wajib memenuhi spesifikasi ASTM A 283 Gr C, K450 untuk spun pile, dan K250/K300 untuk beton.</w:t>
      </w:r>
    </w:p>
    <w:p>
      <w:pPr>
        <w:pStyle w:val="ListNumber"/>
      </w:pPr>
      <w:r>
        <w:rPr>
          <w:rFonts w:ascii="Arial" w:hAnsi="Arial"/>
          <w:sz w:val="24"/>
        </w:rPr>
        <w:t>Dimensi geometri pondasi dan rabat tangki harus sesuai gambar kerja, dengan kedalaman pancang 18 m dan tinggi rabat 3 m.</w:t>
      </w:r>
    </w:p>
    <w:p>
      <w:pPr>
        <w:pStyle w:val="ListNumber"/>
      </w:pPr>
      <w:r>
        <w:rPr>
          <w:rFonts w:ascii="Arial" w:hAnsi="Arial"/>
          <w:sz w:val="24"/>
        </w:rPr>
        <w:t>Ketebalan plat shell seragam 6 mm dengan toleransi fabrikasi sesuai standar industri.</w:t>
      </w:r>
    </w:p>
    <w:p>
      <w:pPr>
        <w:pStyle w:val="ListNumber"/>
      </w:pPr>
      <w:r>
        <w:rPr>
          <w:rFonts w:ascii="Arial" w:hAnsi="Arial"/>
          <w:sz w:val="24"/>
        </w:rPr>
        <w:t>Semua material wajib melalui proses material approval sebelum digunakan di lapangan.</w:t>
      </w:r>
    </w:p>
    <w:p>
      <w:pPr>
        <w:pStyle w:val="Heading1"/>
      </w:pPr>
      <w:r>
        <w:rPr>
          <w:rFonts w:ascii="Arial" w:hAnsi="Arial"/>
          <w:color w:val="000000"/>
          <w:sz w:val="28"/>
        </w:rPr>
        <w:t>BAB III - METODE PELAKSANAAN PEKERJAAN</w:t>
      </w:r>
    </w:p>
    <w:p>
      <w:pPr>
        <w:pStyle w:val="Heading2"/>
      </w:pPr>
      <w:r>
        <w:rPr>
          <w:rFonts w:ascii="Arial" w:hAnsi="Arial"/>
          <w:color w:val="000000"/>
          <w:sz w:val="24"/>
        </w:rPr>
        <w:t>3.1 Persiapan Lapangan dan Logistik</w:t>
      </w:r>
    </w:p>
    <w:p>
      <w:pPr>
        <w:pStyle w:val="ListBullet"/>
      </w:pPr>
      <w:r>
        <w:rPr>
          <w:rFonts w:ascii="Arial" w:hAnsi="Arial"/>
          <w:sz w:val="24"/>
        </w:rPr>
        <w:t>Pendirian direksi kit dan setup fasilitas sementara kontraktor.</w:t>
      </w:r>
    </w:p>
    <w:p>
      <w:pPr>
        <w:pStyle w:val="ListBullet"/>
      </w:pPr>
      <w:r>
        <w:rPr>
          <w:rFonts w:ascii="Arial" w:hAnsi="Arial"/>
          <w:sz w:val="24"/>
        </w:rPr>
        <w:t>Survei topografi dan penyusunan shop drawing serta as-built drawing.</w:t>
      </w:r>
    </w:p>
    <w:p>
      <w:pPr>
        <w:pStyle w:val="ListBullet"/>
      </w:pPr>
      <w:r>
        <w:rPr>
          <w:rFonts w:ascii="Arial" w:hAnsi="Arial"/>
          <w:sz w:val="24"/>
        </w:rPr>
        <w:t>Mobilisasi tenaga ahli, drafter standby 8 bulan, serta peralatan utama ke lokasi.</w:t>
      </w:r>
    </w:p>
    <w:p>
      <w:pPr>
        <w:pStyle w:val="ListBullet"/>
      </w:pPr>
      <w:r>
        <w:rPr>
          <w:rFonts w:ascii="Arial" w:hAnsi="Arial"/>
          <w:sz w:val="24"/>
        </w:rPr>
        <w:t>Penyediaan scaffolding, genset, dan pompa uji beserta BBM operasional.</w:t>
      </w:r>
    </w:p>
    <w:p>
      <w:pPr>
        <w:pStyle w:val="Heading2"/>
      </w:pPr>
      <w:r>
        <w:rPr>
          <w:rFonts w:ascii="Arial" w:hAnsi="Arial"/>
          <w:color w:val="000000"/>
          <w:sz w:val="24"/>
        </w:rPr>
        <w:t>3.2 Pelaksanaan Pondasi dan Struktur Bawah Tanah</w:t>
      </w:r>
    </w:p>
    <w:p>
      <w:pPr>
        <w:pStyle w:val="ListNumber"/>
      </w:pPr>
      <w:r>
        <w:rPr>
          <w:rFonts w:ascii="Arial" w:hAnsi="Arial"/>
          <w:sz w:val="24"/>
        </w:rPr>
        <w:t>Pemancangan spun pile menggunakan alat HSPD hingga elevasi design.</w:t>
      </w:r>
    </w:p>
    <w:p>
      <w:pPr>
        <w:pStyle w:val="ListNumber"/>
      </w:pPr>
      <w:r>
        <w:rPr>
          <w:rFonts w:ascii="Arial" w:hAnsi="Arial"/>
          <w:sz w:val="24"/>
        </w:rPr>
        <w:t>Pemotongan tiang pancang yang muncul ke permukaan dan pembuatan terusan beton.</w:t>
      </w:r>
    </w:p>
    <w:p>
      <w:pPr>
        <w:pStyle w:val="ListNumber"/>
      </w:pPr>
      <w:r>
        <w:rPr>
          <w:rFonts w:ascii="Arial" w:hAnsi="Arial"/>
          <w:sz w:val="24"/>
        </w:rPr>
        <w:t>Pelaksanaan galian tanah, urugan pasir pilihan, dan pemasangan batu kali dengan campuran 1:2:3.</w:t>
      </w:r>
    </w:p>
    <w:p>
      <w:pPr>
        <w:pStyle w:val="ListNumber"/>
      </w:pPr>
      <w:r>
        <w:rPr>
          <w:rFonts w:ascii="Arial" w:hAnsi="Arial"/>
          <w:sz w:val="24"/>
        </w:rPr>
        <w:t>Pemasangan bekisting, penulangan, dan pengecoran pile cap serta slab beton ready mix.</w:t>
      </w:r>
    </w:p>
    <w:p>
      <w:pPr>
        <w:pStyle w:val="ListNumber"/>
      </w:pPr>
      <w:r>
        <w:rPr>
          <w:rFonts w:ascii="Arial" w:hAnsi="Arial"/>
          <w:sz w:val="24"/>
        </w:rPr>
        <w:t>Pemadatan urugan di sekitar rabat tangki secara bertahap.</w:t>
      </w:r>
    </w:p>
    <w:p>
      <w:pPr>
        <w:pStyle w:val="Heading2"/>
      </w:pPr>
      <w:r>
        <w:rPr>
          <w:rFonts w:ascii="Arial" w:hAnsi="Arial"/>
          <w:color w:val="000000"/>
          <w:sz w:val="24"/>
        </w:rPr>
        <w:t>3.3 Erection dan Konstruksi Tangki</w:t>
      </w:r>
    </w:p>
    <w:p>
      <w:pPr>
        <w:spacing w:line="360" w:lineRule="auto" w:after="120"/>
      </w:pPr>
      <w:r>
        <w:rPr>
          <w:rFonts w:ascii="Arial" w:hAnsi="Arial"/>
          <w:sz w:val="24"/>
        </w:rPr>
        <w:t>Proses fabrication dimulai dengan pengerollan dan pemotongan plat sesuai shop drawing. Seluruh sambungan dilakukan melalui pengelasan oleh welder bersertifikat. Perakitan dinding (shell ring I-VI) dan atap tangki dilaksanakan menggunakan crane darat 25 ton dengan prosedur lifting plan yang ketat. Setelah erection selesai, dilakukan urugan pasir di area rabat dan persiapan uji hidrolik. Verifikasi dapat dilakukan sendiri oleh KONTRAKTOR yang memiliki kualifikasi untuk melakukan Verifikasi.</w:t>
      </w:r>
    </w:p>
    <w:p>
      <w:pPr>
        <w:pStyle w:val="Heading1"/>
      </w:pPr>
      <w:r>
        <w:rPr>
          <w:rFonts w:ascii="Arial" w:hAnsi="Arial"/>
          <w:color w:val="000000"/>
          <w:sz w:val="28"/>
        </w:rPr>
        <w:t>BAB IV - KESELAMATAN, KESEHATAN KERJA &amp; LINGKUNGAN (HSSE)</w:t>
      </w:r>
    </w:p>
    <w:p>
      <w:pPr>
        <w:pStyle w:val="Heading2"/>
      </w:pPr>
      <w:r>
        <w:rPr>
          <w:rFonts w:ascii="Arial" w:hAnsi="Arial"/>
          <w:color w:val="000000"/>
          <w:sz w:val="24"/>
        </w:rPr>
        <w:t>4.1 Manajemen Risiko dan APD</w:t>
      </w:r>
    </w:p>
    <w:p>
      <w:pPr>
        <w:pStyle w:val="ListNumber"/>
      </w:pPr>
      <w:r>
        <w:rPr>
          <w:rFonts w:ascii="Arial" w:hAnsi="Arial"/>
          <w:sz w:val="24"/>
        </w:rPr>
        <w:t>Tingkat risiko pekerjaan ditetapkan HIGH sehingga penerapan Safety Management System (CSMS) wajib maksimal.</w:t>
      </w:r>
    </w:p>
    <w:p>
      <w:pPr>
        <w:pStyle w:val="ListNumber"/>
      </w:pPr>
      <w:r>
        <w:rPr>
          <w:rFonts w:ascii="Arial" w:hAnsi="Arial"/>
          <w:sz w:val="24"/>
        </w:rPr>
        <w:t>APD wajib meliputi pakaian kerja lengan panjang bahan katun (coverall), safety vest, kacamata pelindung, helm, sepatu safety, dan sarung tangan.</w:t>
      </w:r>
    </w:p>
    <w:p>
      <w:pPr>
        <w:pStyle w:val="ListNumber"/>
      </w:pPr>
      <w:r>
        <w:rPr>
          <w:rFonts w:ascii="Arial" w:hAnsi="Arial"/>
          <w:sz w:val="24"/>
        </w:rPr>
        <w:t>Peralatan keselamatan tambahan seperti tirai air, spanduk, dan fire blanket wajib tersedia di area kritis.</w:t>
      </w:r>
    </w:p>
    <w:p>
      <w:pPr>
        <w:pStyle w:val="ListNumber"/>
      </w:pPr>
      <w:r>
        <w:rPr>
          <w:rFonts w:ascii="Arial" w:hAnsi="Arial"/>
          <w:sz w:val="24"/>
        </w:rPr>
        <w:t>KONTRAKTOR wajib memastikan semua personil mengikuti briefing harian (toolbox meeting) sebelum memulai aktivitas.</w:t>
      </w:r>
    </w:p>
    <w:p>
      <w:pPr>
        <w:pStyle w:val="Heading2"/>
      </w:pPr>
      <w:r>
        <w:rPr>
          <w:rFonts w:ascii="Arial" w:hAnsi="Arial"/>
          <w:color w:val="000000"/>
          <w:sz w:val="24"/>
        </w:rPr>
        <w:t>4.2 Pengendalian Lingkungan dan Kebersihan Area</w:t>
      </w:r>
    </w:p>
    <w:p>
      <w:pPr>
        <w:pStyle w:val="ListBullet"/>
      </w:pPr>
      <w:r>
        <w:rPr>
          <w:rFonts w:ascii="Arial" w:hAnsi="Arial"/>
          <w:sz w:val="24"/>
        </w:rPr>
        <w:t>Memastikan semua area kerja bersih dari sisa material dan pekerjaan (contoh: besi, kayu, pasir sand blast, kemasan material, kertas, dan lain-lain).</w:t>
      </w:r>
    </w:p>
    <w:p>
      <w:pPr>
        <w:pStyle w:val="ListBullet"/>
      </w:pPr>
      <w:r>
        <w:rPr>
          <w:rFonts w:ascii="Arial" w:hAnsi="Arial"/>
          <w:sz w:val="24"/>
        </w:rPr>
        <w:t>Melakukan intervensi jika menemukan personil yang membuang sampah sembarangan serta meninggalkan sisa material dan pekerjaan di area kerja.</w:t>
      </w:r>
    </w:p>
    <w:p>
      <w:pPr>
        <w:pStyle w:val="ListBullet"/>
      </w:pPr>
      <w:r>
        <w:rPr>
          <w:rFonts w:ascii="Arial" w:hAnsi="Arial"/>
          <w:sz w:val="24"/>
        </w:rPr>
        <w:t>Pengelolaan limbah konstruksi dan pembuangan oli/BBM harus sesuai regulasi lingkungan setempat.</w:t>
      </w:r>
    </w:p>
    <w:p>
      <w:pPr>
        <w:pStyle w:val="ListBullet"/>
      </w:pPr>
      <w:r>
        <w:rPr>
          <w:rFonts w:ascii="Arial" w:hAnsi="Arial"/>
          <w:sz w:val="24"/>
        </w:rPr>
        <w:t>Penerapan sistem drainase sementara untuk mencegah genangan air selama masa konstruksi.</w:t>
      </w:r>
    </w:p>
    <w:p>
      <w:pPr>
        <w:pStyle w:val="Heading2"/>
      </w:pPr>
      <w:r>
        <w:rPr>
          <w:rFonts w:ascii="Arial" w:hAnsi="Arial"/>
          <w:color w:val="000000"/>
          <w:sz w:val="24"/>
        </w:rPr>
        <w:t>4.3 Koordinasi dan Supervisi</w:t>
      </w:r>
    </w:p>
    <w:p>
      <w:pPr>
        <w:spacing w:line="360" w:lineRule="auto" w:after="120"/>
      </w:pPr>
      <w:r>
        <w:rPr>
          <w:rFonts w:ascii="Arial" w:hAnsi="Arial"/>
          <w:sz w:val="24"/>
        </w:rPr>
        <w:t>Selama pelaksanaan pekerjaan, KONTRAKTOR harus selalu koordinasi dengan Pengawas PERUSAHAAN yang bersangkutan. Setiap temuan ketidaksesuaian teknis atau kondisi lapangan harus segera dilaporkan dan didiskusikan untuk mendapatkan arahan perbaikan. Komunikasi dua arah ini bertujuan untuk menjaga sinkronisasi jadwal, kualitas hasil, dan kepatuhan terhadap prosedur keselamatan.</w:t>
      </w:r>
    </w:p>
    <w:p>
      <w:pPr>
        <w:pStyle w:val="Heading1"/>
      </w:pPr>
      <w:r>
        <w:rPr>
          <w:rFonts w:ascii="Arial" w:hAnsi="Arial"/>
          <w:color w:val="000000"/>
          <w:sz w:val="28"/>
        </w:rPr>
        <w:t>BAB V - PENGUJIAN, SERAH TERIMA &amp; ADMINISTRASI</w:t>
      </w:r>
    </w:p>
    <w:p>
      <w:pPr>
        <w:pStyle w:val="Heading2"/>
      </w:pPr>
      <w:r>
        <w:rPr>
          <w:rFonts w:ascii="Arial" w:hAnsi="Arial"/>
          <w:color w:val="000000"/>
          <w:sz w:val="24"/>
        </w:rPr>
        <w:t>5.1 Pengujian dan Quality Assurance</w:t>
      </w:r>
    </w:p>
    <w:p>
      <w:pPr>
        <w:pStyle w:val="ListNumber"/>
      </w:pPr>
      <w:r>
        <w:rPr>
          <w:rFonts w:ascii="Arial" w:hAnsi="Arial"/>
          <w:sz w:val="24"/>
        </w:rPr>
        <w:t>Uji hidrolik (hydrostatic test) dilakukan setelah erection selesai untuk memastikan kebocoran dan integritas struktur.</w:t>
      </w:r>
    </w:p>
    <w:p>
      <w:pPr>
        <w:pStyle w:val="ListNumber"/>
      </w:pPr>
      <w:r>
        <w:rPr>
          <w:rFonts w:ascii="Arial" w:hAnsi="Arial"/>
          <w:sz w:val="24"/>
        </w:rPr>
        <w:t>Quality Control material meliputi pemeriksaan sertifikat mill test report dan visual inspection setiap batch.</w:t>
      </w:r>
    </w:p>
    <w:p>
      <w:pPr>
        <w:pStyle w:val="ListNumber"/>
      </w:pPr>
      <w:r>
        <w:rPr>
          <w:rFonts w:ascii="Arial" w:hAnsi="Arial"/>
          <w:sz w:val="24"/>
        </w:rPr>
        <w:t>Dokumentasi as-built drawing dan laporan foto progres wajib diserahkan secara berkala.</w:t>
      </w:r>
    </w:p>
    <w:p>
      <w:pPr>
        <w:pStyle w:val="ListNumber"/>
      </w:pPr>
      <w:r>
        <w:rPr>
          <w:rFonts w:ascii="Arial" w:hAnsi="Arial"/>
          <w:sz w:val="24"/>
        </w:rPr>
        <w:t>Inspeksi akhir bersama melibatkan pihak KONTRAKTOR, PENGAWAS, dan MANAJEMEN untuk penerimaan pekerjaan.</w:t>
      </w:r>
    </w:p>
    <w:p>
      <w:pPr>
        <w:pStyle w:val="Heading2"/>
      </w:pPr>
      <w:r>
        <w:rPr>
          <w:rFonts w:ascii="Arial" w:hAnsi="Arial"/>
          <w:color w:val="000000"/>
          <w:sz w:val="24"/>
        </w:rPr>
        <w:t>5.2 Administrasi, Pelaporan dan Pajak</w:t>
      </w:r>
    </w:p>
    <w:p>
      <w:pPr>
        <w:pStyle w:val="ListBullet"/>
      </w:pPr>
      <w:r>
        <w:rPr>
          <w:rFonts w:ascii="Arial" w:hAnsi="Arial"/>
          <w:sz w:val="24"/>
        </w:rPr>
        <w:t>Semua pajak, bea meterai, iuran restribusi dan atau pungutan lain menjadi beban KONTRAKTOR, kecuali PPN menjadi beban PERUSAHAAN.</w:t>
      </w:r>
    </w:p>
    <w:p>
      <w:pPr>
        <w:pStyle w:val="ListBullet"/>
      </w:pPr>
      <w:r>
        <w:rPr>
          <w:rFonts w:ascii="Arial" w:hAnsi="Arial"/>
          <w:sz w:val="24"/>
        </w:rPr>
        <w:t>Penyediaan jasa drafter standby selama 8 bulan untuk mendukung revisi gambar dan administrasi proyek.</w:t>
      </w:r>
    </w:p>
    <w:p>
      <w:pPr>
        <w:pStyle w:val="ListBullet"/>
      </w:pPr>
      <w:r>
        <w:rPr>
          <w:rFonts w:ascii="Arial" w:hAnsi="Arial"/>
          <w:sz w:val="24"/>
        </w:rPr>
        <w:t>Laporan bulanan berisi progress fisik, keuangan, dan status HSSE wajib disampaikan tepat waktu.</w:t>
      </w:r>
    </w:p>
    <w:p>
      <w:pPr>
        <w:pStyle w:val="ListBullet"/>
      </w:pPr>
      <w:r>
        <w:rPr>
          <w:rFonts w:ascii="Arial" w:hAnsi="Arial"/>
          <w:sz w:val="24"/>
        </w:rPr>
        <w:t>Serah terima pekerjaan hanya sah setelah ditandatangani berita acara serah terima dan penyelesaian seluruh kewajiban administratif.</w:t>
      </w:r>
    </w:p>
    <w:p>
      <w:pPr>
        <w:pStyle w:val="Heading2"/>
      </w:pPr>
      <w:r>
        <w:rPr>
          <w:rFonts w:ascii="Arial" w:hAnsi="Arial"/>
          <w:color w:val="000000"/>
          <w:sz w:val="24"/>
        </w:rPr>
        <w:t>5.3 Penutup</w:t>
      </w:r>
    </w:p>
    <w:sectPr w:rsidR="00FC693F" w:rsidRPr="0006063C" w:rsidSect="00034616">
      <w:headerReference w:type="default" r:id="rId10"/>
      <w:footerReference w:type="default" r:id="rId11"/>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000000"/>
      </w:pBdr>
    </w:pPr>
    <w:r>
      <w:rPr>
        <w:rFonts w:ascii="Arial" w:hAnsi="Arial"/>
        <w:sz w:val="16"/>
      </w:rPr>
      <w:t xml:space="preserve">No. Dok: RKS-12354-2026  |  </w:t>
    </w:r>
    <w:r>
      <w:rPr>
        <w:rFonts w:ascii="Arial" w:hAnsi="Arial"/>
        <w:sz w:val="16"/>
      </w:rPr>
      <w:t xml:space="preserve">Hal.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pPr>
    <w:r>
      <w:drawing>
        <wp:inline xmlns:a="http://schemas.openxmlformats.org/drawingml/2006/main" xmlns:pic="http://schemas.openxmlformats.org/drawingml/2006/picture">
          <wp:extent cx="1851429" cy="432000"/>
          <wp:docPr id="1" name="Picture 1"/>
          <wp:cNvGraphicFramePr>
            <a:graphicFrameLocks noChangeAspect="1"/>
          </wp:cNvGraphicFramePr>
          <a:graphic>
            <a:graphicData uri="http://schemas.openxmlformats.org/drawingml/2006/picture">
              <pic:pic>
                <pic:nvPicPr>
                  <pic:cNvPr id="0" name="logo_pertamina.png"/>
                  <pic:cNvPicPr/>
                </pic:nvPicPr>
                <pic:blipFill>
                  <a:blip r:embed="rId1"/>
                  <a:stretch>
                    <a:fillRect/>
                  </a:stretch>
                </pic:blipFill>
                <pic:spPr>
                  <a:xfrm>
                    <a:off x="0" y="0"/>
                    <a:ext cx="1851429" cy="432000"/>
                  </a:xfrm>
                  <a:prstGeom prst="rect"/>
                </pic:spPr>
              </pic:pic>
            </a:graphicData>
          </a:graphic>
        </wp:inline>
      </w:drawing>
    </w:r>
    <w:r>
      <w:t xml:space="preserve">  </w:t>
    </w:r>
    <w:r>
      <w:rPr>
        <w:rFonts w:ascii="Arial" w:hAnsi="Arial"/>
        <w:b/>
        <w:sz w:val="18"/>
      </w:rPr>
      <w:t>PT PERTAMINA (PERSERO)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