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E27C" w14:textId="016DD09A" w:rsidR="00FF70F6" w:rsidRPr="006B7E7C" w:rsidRDefault="009A06A3" w:rsidP="009A06A3">
      <w:pPr>
        <w:jc w:val="center"/>
        <w:rPr>
          <w:b/>
          <w:bCs/>
          <w:sz w:val="36"/>
          <w:szCs w:val="36"/>
        </w:rPr>
      </w:pPr>
      <w:r w:rsidRPr="006B7E7C">
        <w:rPr>
          <w:b/>
          <w:bCs/>
          <w:sz w:val="36"/>
          <w:szCs w:val="36"/>
        </w:rPr>
        <w:t>Dallas Restaurant Analysis</w:t>
      </w:r>
    </w:p>
    <w:p w14:paraId="6CE84B6E" w14:textId="6C2B5E80" w:rsidR="009A06A3" w:rsidRPr="006B7E7C" w:rsidRDefault="009A06A3" w:rsidP="009A06A3">
      <w:pPr>
        <w:jc w:val="center"/>
        <w:rPr>
          <w:sz w:val="28"/>
          <w:szCs w:val="28"/>
        </w:rPr>
      </w:pPr>
      <w:r w:rsidRPr="006B7E7C">
        <w:rPr>
          <w:sz w:val="28"/>
          <w:szCs w:val="28"/>
        </w:rPr>
        <w:t>Mark Lee</w:t>
      </w:r>
    </w:p>
    <w:p w14:paraId="56D54604" w14:textId="249A0C05" w:rsidR="009A06A3" w:rsidRDefault="009A06A3" w:rsidP="009A06A3">
      <w:pPr>
        <w:jc w:val="center"/>
        <w:rPr>
          <w:sz w:val="28"/>
          <w:szCs w:val="28"/>
        </w:rPr>
      </w:pPr>
      <w:r w:rsidRPr="006B7E7C">
        <w:rPr>
          <w:sz w:val="28"/>
          <w:szCs w:val="28"/>
        </w:rPr>
        <w:t>May 2021</w:t>
      </w:r>
    </w:p>
    <w:p w14:paraId="44CBE266" w14:textId="77777777" w:rsidR="006B7E7C" w:rsidRPr="006B7E7C" w:rsidRDefault="006B7E7C" w:rsidP="009A06A3">
      <w:pPr>
        <w:jc w:val="center"/>
        <w:rPr>
          <w:sz w:val="28"/>
          <w:szCs w:val="28"/>
        </w:rPr>
      </w:pPr>
    </w:p>
    <w:p w14:paraId="101F53C9" w14:textId="3C47127C" w:rsidR="009A06A3" w:rsidRDefault="009A06A3" w:rsidP="009A06A3">
      <w:pPr>
        <w:pStyle w:val="Heading1"/>
      </w:pPr>
      <w:r>
        <w:t>Introduction</w:t>
      </w:r>
    </w:p>
    <w:p w14:paraId="32D8A538" w14:textId="224A9FAF" w:rsidR="009A06A3" w:rsidRDefault="009A06A3" w:rsidP="009A06A3">
      <w:pPr>
        <w:pStyle w:val="Heading2"/>
      </w:pPr>
      <w:r>
        <w:t>Background</w:t>
      </w:r>
    </w:p>
    <w:p w14:paraId="23DCC003" w14:textId="0A516F38" w:rsidR="009A06A3" w:rsidRDefault="009A06A3" w:rsidP="009A06A3">
      <w:r>
        <w:t xml:space="preserve">The city of Dallas has a robust restaurant scene, and one that has a </w:t>
      </w:r>
      <w:hyperlink r:id="rId5" w:history="1">
        <w:r w:rsidRPr="009A06A3">
          <w:rPr>
            <w:rStyle w:val="Hyperlink"/>
          </w:rPr>
          <w:t>quickly growing Asian Cuisine scene</w:t>
        </w:r>
      </w:hyperlink>
      <w:r>
        <w:t>.  The Dallas dining scene has been described as a “</w:t>
      </w:r>
      <w:hyperlink r:id="rId6" w:history="1">
        <w:r>
          <w:rPr>
            <w:rStyle w:val="Hyperlink"/>
          </w:rPr>
          <w:t>worthy culinary destination that’s as diverse as it is accessible</w:t>
        </w:r>
      </w:hyperlink>
      <w:r>
        <w:t xml:space="preserve">” by Annie Werner for Here Magazine.  </w:t>
      </w:r>
    </w:p>
    <w:p w14:paraId="7293C75B" w14:textId="1AFEF5C3" w:rsidR="009A06A3" w:rsidRDefault="009A06A3" w:rsidP="009A06A3">
      <w:pPr>
        <w:pStyle w:val="Heading2"/>
      </w:pPr>
      <w:r>
        <w:t>Problem</w:t>
      </w:r>
    </w:p>
    <w:p w14:paraId="4226FC74" w14:textId="1C06171A" w:rsidR="009A06A3" w:rsidRDefault="009A06A3" w:rsidP="009A06A3">
      <w:r>
        <w:t>Anyone looking to open a restaurant in Dallas, especially that serves Asian Cuisine, needs to understand the current lay of the land when determining the ideal location for a new establishment.</w:t>
      </w:r>
      <w:r>
        <w:t xml:space="preserve">  This project aims to identify the best-suited locations for further inquiry.</w:t>
      </w:r>
    </w:p>
    <w:p w14:paraId="30B11078" w14:textId="6FABC021" w:rsidR="009A06A3" w:rsidRDefault="009A06A3" w:rsidP="009A06A3">
      <w:pPr>
        <w:pStyle w:val="Heading2"/>
      </w:pPr>
      <w:r>
        <w:t>Interest</w:t>
      </w:r>
    </w:p>
    <w:p w14:paraId="2AF6A468" w14:textId="68FACE06" w:rsidR="009A06A3" w:rsidRDefault="009A06A3" w:rsidP="009A06A3">
      <w:r>
        <w:t>Our client</w:t>
      </w:r>
      <w:r w:rsidR="009705B2">
        <w:t xml:space="preserve"> has asked us to </w:t>
      </w:r>
      <w:r w:rsidR="009705B2">
        <w:t>by examining which have the lowest restaurant density, and focus our search around the center of the city</w:t>
      </w:r>
      <w:r w:rsidR="009705B2">
        <w:t>.  Top priorities are locations with limited competition and locations with robust foot traffic.</w:t>
      </w:r>
    </w:p>
    <w:p w14:paraId="78BEAEE4" w14:textId="4648648D" w:rsidR="009705B2" w:rsidRDefault="009705B2" w:rsidP="009A06A3"/>
    <w:p w14:paraId="62465BA6" w14:textId="56EA0FFC" w:rsidR="009705B2" w:rsidRDefault="009705B2" w:rsidP="009705B2">
      <w:pPr>
        <w:pStyle w:val="Heading1"/>
      </w:pPr>
      <w:r>
        <w:t>Data Acquisition and Cleaning</w:t>
      </w:r>
    </w:p>
    <w:p w14:paraId="6C741122" w14:textId="4235F0CD" w:rsidR="009705B2" w:rsidRDefault="009705B2" w:rsidP="009705B2">
      <w:pPr>
        <w:pStyle w:val="Heading2"/>
      </w:pPr>
      <w:r>
        <w:t>Data Sources</w:t>
      </w:r>
    </w:p>
    <w:p w14:paraId="2A63CCE1" w14:textId="6502EDB5" w:rsidR="009705B2" w:rsidRDefault="009705B2" w:rsidP="009705B2">
      <w:pPr>
        <w:pStyle w:val="ListParagraph"/>
        <w:numPr>
          <w:ilvl w:val="0"/>
          <w:numId w:val="2"/>
        </w:numPr>
      </w:pPr>
      <w:proofErr w:type="spellStart"/>
      <w:r>
        <w:t>FourSquare.com’s</w:t>
      </w:r>
      <w:proofErr w:type="spellEnd"/>
      <w:r>
        <w:t xml:space="preserve"> API will be used to identify venues that we would consider competitors.</w:t>
      </w:r>
    </w:p>
    <w:p w14:paraId="3C662194" w14:textId="228AEB57" w:rsidR="009705B2" w:rsidRDefault="009705B2" w:rsidP="009705B2">
      <w:pPr>
        <w:pStyle w:val="ListParagraph"/>
        <w:numPr>
          <w:ilvl w:val="0"/>
          <w:numId w:val="2"/>
        </w:numPr>
      </w:pPr>
      <w:proofErr w:type="spellStart"/>
      <w:r>
        <w:t>WalkScore.com’s</w:t>
      </w:r>
      <w:proofErr w:type="spellEnd"/>
      <w:r>
        <w:t xml:space="preserve"> API will be used to evaluate the expected amount of foot traffic in the area.</w:t>
      </w:r>
    </w:p>
    <w:p w14:paraId="46732932" w14:textId="6FFB54A2" w:rsidR="009705B2" w:rsidRDefault="009705B2" w:rsidP="009705B2">
      <w:pPr>
        <w:pStyle w:val="ListParagraph"/>
        <w:numPr>
          <w:ilvl w:val="0"/>
          <w:numId w:val="2"/>
        </w:numPr>
      </w:pPr>
      <w:r>
        <w:t xml:space="preserve">David Blackman has a repository of </w:t>
      </w:r>
      <w:proofErr w:type="spellStart"/>
      <w:r>
        <w:t>GeoJson</w:t>
      </w:r>
      <w:proofErr w:type="spellEnd"/>
      <w:r>
        <w:t xml:space="preserve"> files on GitHub to provide context for which Dallas Neighborhood each location is in</w:t>
      </w:r>
    </w:p>
    <w:p w14:paraId="2EC3124A" w14:textId="75E0A0B1" w:rsidR="009705B2" w:rsidRDefault="009705B2" w:rsidP="009705B2">
      <w:pPr>
        <w:pStyle w:val="Heading2"/>
      </w:pPr>
      <w:r>
        <w:t>Data Cleaning</w:t>
      </w:r>
    </w:p>
    <w:p w14:paraId="45818F20" w14:textId="472246F9" w:rsidR="009705B2" w:rsidRDefault="009705B2" w:rsidP="009705B2">
      <w:r>
        <w:t>We began by identifying the city center of Dallas, and restricting our search to a 10 km x 10 km circle around this point.  From there, we created a geometric grid of locations divided into circles with a radius of 250 m.</w:t>
      </w:r>
    </w:p>
    <w:p w14:paraId="09098D6F" w14:textId="52199118" w:rsidR="009705B2" w:rsidRDefault="009705B2" w:rsidP="009705B2">
      <w:r>
        <w:t xml:space="preserve">We gathered a list of all food venues in each location from the </w:t>
      </w:r>
      <w:proofErr w:type="spellStart"/>
      <w:r>
        <w:t>FourSquare</w:t>
      </w:r>
      <w:proofErr w:type="spellEnd"/>
      <w:r>
        <w:t xml:space="preserve"> API.  We determined that the following types of venues would not be considered competition and so excluded them from our search: Bagel Shops, Bakeries, Breakfast Spots, Bubble Tea Shops, Cafeterias, Coffee Shops, Dessert Shops, Donut Shops, Food Stands, Juice Bars, Pet Cafes, Snack Places, Tea Rooms, and Truck Stops.</w:t>
      </w:r>
    </w:p>
    <w:p w14:paraId="0CE1D70E" w14:textId="77777777" w:rsidR="001405FC" w:rsidRDefault="001405FC" w:rsidP="009705B2">
      <w:r>
        <w:t>We also noted whether the food venue served Asian Cuisine, served Thai food specifically, or served food of another type.</w:t>
      </w:r>
    </w:p>
    <w:p w14:paraId="39E024E1" w14:textId="70F831BF" w:rsidR="001405FC" w:rsidRDefault="001405FC" w:rsidP="009705B2">
      <w:r>
        <w:lastRenderedPageBreak/>
        <w:t>We also used the latitude and longitude from each location to pull the WalkScore.com score for each location.</w:t>
      </w:r>
    </w:p>
    <w:p w14:paraId="7C995283" w14:textId="0218E593" w:rsidR="001405FC" w:rsidRDefault="001405FC" w:rsidP="001405FC">
      <w:pPr>
        <w:pStyle w:val="Heading1"/>
      </w:pPr>
      <w:r>
        <w:t>Methodology</w:t>
      </w:r>
    </w:p>
    <w:p w14:paraId="102BF0AD" w14:textId="40937E67" w:rsidR="001405FC" w:rsidRDefault="001405FC" w:rsidP="001405FC">
      <w:pPr>
        <w:pStyle w:val="Heading2"/>
      </w:pPr>
      <w:r>
        <w:t>Exploratory Data Analysis</w:t>
      </w:r>
    </w:p>
    <w:p w14:paraId="756505AA" w14:textId="29C1C6C0" w:rsidR="001405FC" w:rsidRDefault="001405FC" w:rsidP="001405FC">
      <w:r>
        <w:t>We started by calculating the total number of restaurants in each area, as well as the average distance to the nearest Asian Restaurant, and the average distance to the nearest Thai Food Restaurant.</w:t>
      </w:r>
    </w:p>
    <w:p w14:paraId="2D5C8728" w14:textId="6E3B1FEA" w:rsidR="00144825" w:rsidRDefault="00144825" w:rsidP="00144825">
      <w:pPr>
        <w:pStyle w:val="Caption"/>
        <w:keepNext/>
      </w:pPr>
      <w:r>
        <w:t xml:space="preserve">Table </w:t>
      </w:r>
      <w:r>
        <w:fldChar w:fldCharType="begin"/>
      </w:r>
      <w:r>
        <w:instrText xml:space="preserve"> SEQ Table \* ARABIC </w:instrText>
      </w:r>
      <w:r>
        <w:fldChar w:fldCharType="separate"/>
      </w:r>
      <w:r>
        <w:rPr>
          <w:noProof/>
        </w:rPr>
        <w:t>1</w:t>
      </w:r>
      <w:r>
        <w:fldChar w:fldCharType="end"/>
      </w:r>
      <w:r>
        <w:t>: Sample Table of Total Restaurant Count for Each 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027"/>
        <w:gridCol w:w="2058"/>
        <w:gridCol w:w="1436"/>
        <w:gridCol w:w="1771"/>
      </w:tblGrid>
      <w:tr w:rsidR="001405FC" w:rsidRPr="001405FC" w14:paraId="23CC9887" w14:textId="77777777" w:rsidTr="00144825">
        <w:trPr>
          <w:trHeight w:val="627"/>
          <w:tblHeader/>
          <w:tblCellSpacing w:w="15" w:type="dxa"/>
        </w:trPr>
        <w:tc>
          <w:tcPr>
            <w:tcW w:w="0" w:type="auto"/>
            <w:tcMar>
              <w:left w:w="43" w:type="dxa"/>
              <w:right w:w="43" w:type="dxa"/>
            </w:tcMar>
            <w:vAlign w:val="center"/>
            <w:hideMark/>
          </w:tcPr>
          <w:p w14:paraId="25BDF942" w14:textId="77777777" w:rsidR="001405FC" w:rsidRPr="001405FC" w:rsidRDefault="001405FC" w:rsidP="001405FC">
            <w:pPr>
              <w:contextualSpacing/>
              <w:jc w:val="right"/>
              <w:rPr>
                <w:b/>
                <w:bCs/>
              </w:rPr>
            </w:pPr>
            <w:r w:rsidRPr="001405FC">
              <w:rPr>
                <w:b/>
                <w:bCs/>
              </w:rPr>
              <w:t>Latitude</w:t>
            </w:r>
          </w:p>
        </w:tc>
        <w:tc>
          <w:tcPr>
            <w:tcW w:w="0" w:type="auto"/>
            <w:tcMar>
              <w:left w:w="43" w:type="dxa"/>
              <w:right w:w="43" w:type="dxa"/>
            </w:tcMar>
            <w:vAlign w:val="center"/>
            <w:hideMark/>
          </w:tcPr>
          <w:p w14:paraId="0410239C" w14:textId="77777777" w:rsidR="001405FC" w:rsidRPr="001405FC" w:rsidRDefault="001405FC" w:rsidP="001405FC">
            <w:pPr>
              <w:contextualSpacing/>
              <w:jc w:val="right"/>
              <w:rPr>
                <w:b/>
                <w:bCs/>
              </w:rPr>
            </w:pPr>
            <w:r w:rsidRPr="001405FC">
              <w:rPr>
                <w:b/>
                <w:bCs/>
              </w:rPr>
              <w:t>Longitude</w:t>
            </w:r>
          </w:p>
        </w:tc>
        <w:tc>
          <w:tcPr>
            <w:tcW w:w="0" w:type="auto"/>
            <w:tcMar>
              <w:left w:w="43" w:type="dxa"/>
              <w:right w:w="43" w:type="dxa"/>
            </w:tcMar>
            <w:vAlign w:val="center"/>
            <w:hideMark/>
          </w:tcPr>
          <w:p w14:paraId="22F0E8AC" w14:textId="77777777" w:rsidR="001405FC" w:rsidRPr="001405FC" w:rsidRDefault="001405FC" w:rsidP="001405FC">
            <w:pPr>
              <w:contextualSpacing/>
              <w:jc w:val="right"/>
              <w:rPr>
                <w:b/>
                <w:bCs/>
              </w:rPr>
            </w:pPr>
            <w:r w:rsidRPr="001405FC">
              <w:rPr>
                <w:b/>
                <w:bCs/>
              </w:rPr>
              <w:t>Distance from Center</w:t>
            </w:r>
          </w:p>
        </w:tc>
        <w:tc>
          <w:tcPr>
            <w:tcW w:w="0" w:type="auto"/>
            <w:tcMar>
              <w:left w:w="43" w:type="dxa"/>
              <w:right w:w="43" w:type="dxa"/>
            </w:tcMar>
            <w:vAlign w:val="center"/>
            <w:hideMark/>
          </w:tcPr>
          <w:p w14:paraId="14304245" w14:textId="77777777" w:rsidR="001405FC" w:rsidRPr="001405FC" w:rsidRDefault="001405FC" w:rsidP="001405FC">
            <w:pPr>
              <w:contextualSpacing/>
              <w:rPr>
                <w:b/>
                <w:bCs/>
              </w:rPr>
            </w:pPr>
            <w:r w:rsidRPr="001405FC">
              <w:rPr>
                <w:b/>
                <w:bCs/>
              </w:rPr>
              <w:t>Neighborhood</w:t>
            </w:r>
          </w:p>
        </w:tc>
        <w:tc>
          <w:tcPr>
            <w:tcW w:w="0" w:type="auto"/>
            <w:tcMar>
              <w:left w:w="72" w:type="dxa"/>
              <w:right w:w="43" w:type="dxa"/>
            </w:tcMar>
            <w:vAlign w:val="center"/>
            <w:hideMark/>
          </w:tcPr>
          <w:p w14:paraId="5745F501" w14:textId="77777777" w:rsidR="001405FC" w:rsidRDefault="001405FC" w:rsidP="001405FC">
            <w:pPr>
              <w:contextualSpacing/>
              <w:jc w:val="right"/>
              <w:rPr>
                <w:b/>
                <w:bCs/>
              </w:rPr>
            </w:pPr>
            <w:r w:rsidRPr="001405FC">
              <w:rPr>
                <w:b/>
                <w:bCs/>
              </w:rPr>
              <w:t xml:space="preserve">Total Restaurants </w:t>
            </w:r>
          </w:p>
          <w:p w14:paraId="5FE65EB8" w14:textId="6E01D499" w:rsidR="001405FC" w:rsidRPr="001405FC" w:rsidRDefault="001405FC" w:rsidP="001405FC">
            <w:pPr>
              <w:contextualSpacing/>
              <w:jc w:val="right"/>
              <w:rPr>
                <w:b/>
                <w:bCs/>
              </w:rPr>
            </w:pPr>
            <w:r w:rsidRPr="001405FC">
              <w:rPr>
                <w:b/>
                <w:bCs/>
              </w:rPr>
              <w:t>in Area</w:t>
            </w:r>
          </w:p>
        </w:tc>
      </w:tr>
      <w:tr w:rsidR="001405FC" w:rsidRPr="001405FC" w14:paraId="0B25BE49" w14:textId="77777777" w:rsidTr="00144825">
        <w:trPr>
          <w:tblCellSpacing w:w="15" w:type="dxa"/>
        </w:trPr>
        <w:tc>
          <w:tcPr>
            <w:tcW w:w="0" w:type="auto"/>
            <w:tcMar>
              <w:left w:w="43" w:type="dxa"/>
              <w:right w:w="43" w:type="dxa"/>
            </w:tcMar>
            <w:vAlign w:val="center"/>
            <w:hideMark/>
          </w:tcPr>
          <w:p w14:paraId="6EC42EBF" w14:textId="3E6298BE" w:rsidR="001405FC" w:rsidRPr="001405FC" w:rsidRDefault="001405FC" w:rsidP="001405FC">
            <w:pPr>
              <w:jc w:val="right"/>
            </w:pPr>
            <w:r w:rsidRPr="001405FC">
              <w:t>32.7370</w:t>
            </w:r>
          </w:p>
        </w:tc>
        <w:tc>
          <w:tcPr>
            <w:tcW w:w="0" w:type="auto"/>
            <w:tcMar>
              <w:left w:w="43" w:type="dxa"/>
              <w:right w:w="43" w:type="dxa"/>
            </w:tcMar>
            <w:vAlign w:val="center"/>
            <w:hideMark/>
          </w:tcPr>
          <w:p w14:paraId="774240E8" w14:textId="7464374A" w:rsidR="001405FC" w:rsidRPr="001405FC" w:rsidRDefault="001405FC" w:rsidP="001405FC">
            <w:pPr>
              <w:jc w:val="right"/>
            </w:pPr>
            <w:r w:rsidRPr="001405FC">
              <w:t>-96.8134</w:t>
            </w:r>
          </w:p>
        </w:tc>
        <w:tc>
          <w:tcPr>
            <w:tcW w:w="0" w:type="auto"/>
            <w:tcMar>
              <w:left w:w="43" w:type="dxa"/>
              <w:right w:w="43" w:type="dxa"/>
            </w:tcMar>
            <w:vAlign w:val="center"/>
            <w:hideMark/>
          </w:tcPr>
          <w:p w14:paraId="7CCEB158" w14:textId="77777777" w:rsidR="001405FC" w:rsidRPr="001405FC" w:rsidRDefault="001405FC" w:rsidP="001405FC">
            <w:pPr>
              <w:jc w:val="right"/>
            </w:pPr>
            <w:r w:rsidRPr="001405FC">
              <w:t>4963.814213</w:t>
            </w:r>
          </w:p>
        </w:tc>
        <w:tc>
          <w:tcPr>
            <w:tcW w:w="0" w:type="auto"/>
            <w:tcMar>
              <w:left w:w="43" w:type="dxa"/>
              <w:right w:w="43" w:type="dxa"/>
            </w:tcMar>
            <w:vAlign w:val="center"/>
            <w:hideMark/>
          </w:tcPr>
          <w:p w14:paraId="7BEF1B43" w14:textId="77777777" w:rsidR="001405FC" w:rsidRPr="001405FC" w:rsidRDefault="001405FC" w:rsidP="001405FC">
            <w:r w:rsidRPr="001405FC">
              <w:t>South Dallas</w:t>
            </w:r>
          </w:p>
        </w:tc>
        <w:tc>
          <w:tcPr>
            <w:tcW w:w="0" w:type="auto"/>
            <w:tcMar>
              <w:left w:w="72" w:type="dxa"/>
              <w:right w:w="43" w:type="dxa"/>
            </w:tcMar>
            <w:vAlign w:val="center"/>
            <w:hideMark/>
          </w:tcPr>
          <w:p w14:paraId="76C1FD77" w14:textId="77777777" w:rsidR="001405FC" w:rsidRPr="001405FC" w:rsidRDefault="001405FC" w:rsidP="001405FC">
            <w:pPr>
              <w:jc w:val="right"/>
            </w:pPr>
            <w:r w:rsidRPr="001405FC">
              <w:t>1</w:t>
            </w:r>
          </w:p>
        </w:tc>
      </w:tr>
      <w:tr w:rsidR="001405FC" w:rsidRPr="001405FC" w14:paraId="70B2215F" w14:textId="77777777" w:rsidTr="00144825">
        <w:trPr>
          <w:tblCellSpacing w:w="15" w:type="dxa"/>
        </w:trPr>
        <w:tc>
          <w:tcPr>
            <w:tcW w:w="0" w:type="auto"/>
            <w:tcMar>
              <w:left w:w="43" w:type="dxa"/>
              <w:right w:w="43" w:type="dxa"/>
            </w:tcMar>
            <w:vAlign w:val="center"/>
            <w:hideMark/>
          </w:tcPr>
          <w:p w14:paraId="5756111D" w14:textId="4871384B" w:rsidR="001405FC" w:rsidRPr="001405FC" w:rsidRDefault="001405FC" w:rsidP="001405FC">
            <w:pPr>
              <w:jc w:val="right"/>
            </w:pPr>
            <w:r w:rsidRPr="001405FC">
              <w:t>32.7369</w:t>
            </w:r>
          </w:p>
        </w:tc>
        <w:tc>
          <w:tcPr>
            <w:tcW w:w="0" w:type="auto"/>
            <w:tcMar>
              <w:left w:w="43" w:type="dxa"/>
              <w:right w:w="43" w:type="dxa"/>
            </w:tcMar>
            <w:vAlign w:val="center"/>
            <w:hideMark/>
          </w:tcPr>
          <w:p w14:paraId="1BDB7541" w14:textId="6B62ABBE" w:rsidR="001405FC" w:rsidRPr="001405FC" w:rsidRDefault="001405FC" w:rsidP="001405FC">
            <w:pPr>
              <w:jc w:val="right"/>
            </w:pPr>
            <w:r w:rsidRPr="001405FC">
              <w:t>-96.8081</w:t>
            </w:r>
          </w:p>
        </w:tc>
        <w:tc>
          <w:tcPr>
            <w:tcW w:w="0" w:type="auto"/>
            <w:tcMar>
              <w:left w:w="43" w:type="dxa"/>
              <w:right w:w="43" w:type="dxa"/>
            </w:tcMar>
            <w:vAlign w:val="center"/>
            <w:hideMark/>
          </w:tcPr>
          <w:p w14:paraId="232493AF" w14:textId="77777777" w:rsidR="001405FC" w:rsidRPr="001405FC" w:rsidRDefault="001405FC" w:rsidP="001405FC">
            <w:pPr>
              <w:jc w:val="right"/>
            </w:pPr>
            <w:r w:rsidRPr="001405FC">
              <w:t>4862.041911</w:t>
            </w:r>
          </w:p>
        </w:tc>
        <w:tc>
          <w:tcPr>
            <w:tcW w:w="0" w:type="auto"/>
            <w:tcMar>
              <w:left w:w="43" w:type="dxa"/>
              <w:right w:w="43" w:type="dxa"/>
            </w:tcMar>
            <w:vAlign w:val="center"/>
            <w:hideMark/>
          </w:tcPr>
          <w:p w14:paraId="09621190" w14:textId="77777777" w:rsidR="001405FC" w:rsidRPr="001405FC" w:rsidRDefault="001405FC" w:rsidP="001405FC">
            <w:r w:rsidRPr="001405FC">
              <w:t>South Dallas</w:t>
            </w:r>
          </w:p>
        </w:tc>
        <w:tc>
          <w:tcPr>
            <w:tcW w:w="0" w:type="auto"/>
            <w:tcMar>
              <w:left w:w="72" w:type="dxa"/>
              <w:right w:w="43" w:type="dxa"/>
            </w:tcMar>
            <w:vAlign w:val="center"/>
            <w:hideMark/>
          </w:tcPr>
          <w:p w14:paraId="1DD0DCC5" w14:textId="77777777" w:rsidR="001405FC" w:rsidRPr="001405FC" w:rsidRDefault="001405FC" w:rsidP="001405FC">
            <w:pPr>
              <w:jc w:val="right"/>
            </w:pPr>
            <w:r w:rsidRPr="001405FC">
              <w:t>0</w:t>
            </w:r>
          </w:p>
        </w:tc>
      </w:tr>
      <w:tr w:rsidR="001405FC" w:rsidRPr="001405FC" w14:paraId="61633BB9" w14:textId="77777777" w:rsidTr="00144825">
        <w:trPr>
          <w:tblCellSpacing w:w="15" w:type="dxa"/>
        </w:trPr>
        <w:tc>
          <w:tcPr>
            <w:tcW w:w="0" w:type="auto"/>
            <w:tcMar>
              <w:left w:w="43" w:type="dxa"/>
              <w:right w:w="43" w:type="dxa"/>
            </w:tcMar>
            <w:vAlign w:val="center"/>
            <w:hideMark/>
          </w:tcPr>
          <w:p w14:paraId="1939F52B" w14:textId="46EA3FFB" w:rsidR="001405FC" w:rsidRPr="001405FC" w:rsidRDefault="001405FC" w:rsidP="001405FC">
            <w:pPr>
              <w:jc w:val="right"/>
            </w:pPr>
            <w:r w:rsidRPr="001405FC">
              <w:t>32.7368</w:t>
            </w:r>
          </w:p>
        </w:tc>
        <w:tc>
          <w:tcPr>
            <w:tcW w:w="0" w:type="auto"/>
            <w:tcMar>
              <w:left w:w="43" w:type="dxa"/>
              <w:right w:w="43" w:type="dxa"/>
            </w:tcMar>
            <w:vAlign w:val="center"/>
            <w:hideMark/>
          </w:tcPr>
          <w:p w14:paraId="5F7F2F63" w14:textId="5E975D9B" w:rsidR="001405FC" w:rsidRPr="001405FC" w:rsidRDefault="001405FC" w:rsidP="001405FC">
            <w:pPr>
              <w:jc w:val="right"/>
            </w:pPr>
            <w:r w:rsidRPr="001405FC">
              <w:t>-96.8028</w:t>
            </w:r>
          </w:p>
        </w:tc>
        <w:tc>
          <w:tcPr>
            <w:tcW w:w="0" w:type="auto"/>
            <w:tcMar>
              <w:left w:w="43" w:type="dxa"/>
              <w:right w:w="43" w:type="dxa"/>
            </w:tcMar>
            <w:vAlign w:val="center"/>
            <w:hideMark/>
          </w:tcPr>
          <w:p w14:paraId="34FE5B3C" w14:textId="77777777" w:rsidR="001405FC" w:rsidRPr="001405FC" w:rsidRDefault="001405FC" w:rsidP="001405FC">
            <w:pPr>
              <w:jc w:val="right"/>
            </w:pPr>
            <w:r w:rsidRPr="001405FC">
              <w:t>4810.348381</w:t>
            </w:r>
          </w:p>
        </w:tc>
        <w:tc>
          <w:tcPr>
            <w:tcW w:w="0" w:type="auto"/>
            <w:tcMar>
              <w:left w:w="43" w:type="dxa"/>
              <w:right w:w="43" w:type="dxa"/>
            </w:tcMar>
            <w:vAlign w:val="center"/>
            <w:hideMark/>
          </w:tcPr>
          <w:p w14:paraId="7592FE8B" w14:textId="77777777" w:rsidR="001405FC" w:rsidRPr="001405FC" w:rsidRDefault="001405FC" w:rsidP="001405FC">
            <w:r w:rsidRPr="001405FC">
              <w:t>South Dallas</w:t>
            </w:r>
          </w:p>
        </w:tc>
        <w:tc>
          <w:tcPr>
            <w:tcW w:w="0" w:type="auto"/>
            <w:tcMar>
              <w:left w:w="72" w:type="dxa"/>
              <w:right w:w="43" w:type="dxa"/>
            </w:tcMar>
            <w:vAlign w:val="center"/>
            <w:hideMark/>
          </w:tcPr>
          <w:p w14:paraId="57DA00F2" w14:textId="77777777" w:rsidR="001405FC" w:rsidRPr="001405FC" w:rsidRDefault="001405FC" w:rsidP="001405FC">
            <w:pPr>
              <w:jc w:val="right"/>
            </w:pPr>
            <w:r w:rsidRPr="001405FC">
              <w:t>0</w:t>
            </w:r>
          </w:p>
        </w:tc>
      </w:tr>
      <w:tr w:rsidR="001405FC" w:rsidRPr="001405FC" w14:paraId="66506E4E" w14:textId="77777777" w:rsidTr="00144825">
        <w:trPr>
          <w:tblCellSpacing w:w="15" w:type="dxa"/>
        </w:trPr>
        <w:tc>
          <w:tcPr>
            <w:tcW w:w="0" w:type="auto"/>
            <w:tcMar>
              <w:left w:w="43" w:type="dxa"/>
              <w:right w:w="43" w:type="dxa"/>
            </w:tcMar>
            <w:vAlign w:val="center"/>
            <w:hideMark/>
          </w:tcPr>
          <w:p w14:paraId="3FA2DAAD" w14:textId="1A3C0130" w:rsidR="001405FC" w:rsidRPr="001405FC" w:rsidRDefault="001405FC" w:rsidP="001405FC">
            <w:pPr>
              <w:jc w:val="right"/>
            </w:pPr>
            <w:r w:rsidRPr="001405FC">
              <w:t>32.7368</w:t>
            </w:r>
          </w:p>
        </w:tc>
        <w:tc>
          <w:tcPr>
            <w:tcW w:w="0" w:type="auto"/>
            <w:tcMar>
              <w:left w:w="43" w:type="dxa"/>
              <w:right w:w="43" w:type="dxa"/>
            </w:tcMar>
            <w:vAlign w:val="center"/>
            <w:hideMark/>
          </w:tcPr>
          <w:p w14:paraId="65ABE979" w14:textId="3D24C442" w:rsidR="001405FC" w:rsidRPr="001405FC" w:rsidRDefault="001405FC" w:rsidP="001405FC">
            <w:pPr>
              <w:jc w:val="right"/>
            </w:pPr>
            <w:r w:rsidRPr="001405FC">
              <w:t>-96.7974</w:t>
            </w:r>
          </w:p>
        </w:tc>
        <w:tc>
          <w:tcPr>
            <w:tcW w:w="0" w:type="auto"/>
            <w:tcMar>
              <w:left w:w="43" w:type="dxa"/>
              <w:right w:w="43" w:type="dxa"/>
            </w:tcMar>
            <w:vAlign w:val="center"/>
            <w:hideMark/>
          </w:tcPr>
          <w:p w14:paraId="485EFDE0" w14:textId="77777777" w:rsidR="001405FC" w:rsidRPr="001405FC" w:rsidRDefault="001405FC" w:rsidP="001405FC">
            <w:pPr>
              <w:jc w:val="right"/>
            </w:pPr>
            <w:r w:rsidRPr="001405FC">
              <w:t>4810.348381</w:t>
            </w:r>
          </w:p>
        </w:tc>
        <w:tc>
          <w:tcPr>
            <w:tcW w:w="0" w:type="auto"/>
            <w:tcMar>
              <w:left w:w="43" w:type="dxa"/>
              <w:right w:w="43" w:type="dxa"/>
            </w:tcMar>
            <w:vAlign w:val="center"/>
            <w:hideMark/>
          </w:tcPr>
          <w:p w14:paraId="16BB61F0" w14:textId="77777777" w:rsidR="001405FC" w:rsidRPr="001405FC" w:rsidRDefault="001405FC" w:rsidP="001405FC">
            <w:r w:rsidRPr="001405FC">
              <w:t>South Dallas</w:t>
            </w:r>
          </w:p>
        </w:tc>
        <w:tc>
          <w:tcPr>
            <w:tcW w:w="0" w:type="auto"/>
            <w:tcMar>
              <w:left w:w="72" w:type="dxa"/>
              <w:right w:w="43" w:type="dxa"/>
            </w:tcMar>
            <w:vAlign w:val="center"/>
            <w:hideMark/>
          </w:tcPr>
          <w:p w14:paraId="5AD2DC0B" w14:textId="77777777" w:rsidR="001405FC" w:rsidRPr="001405FC" w:rsidRDefault="001405FC" w:rsidP="001405FC">
            <w:pPr>
              <w:jc w:val="right"/>
            </w:pPr>
            <w:r w:rsidRPr="001405FC">
              <w:t>4</w:t>
            </w:r>
          </w:p>
        </w:tc>
      </w:tr>
      <w:tr w:rsidR="001405FC" w:rsidRPr="001405FC" w14:paraId="53BC34FD" w14:textId="77777777" w:rsidTr="00144825">
        <w:trPr>
          <w:tblCellSpacing w:w="15" w:type="dxa"/>
        </w:trPr>
        <w:tc>
          <w:tcPr>
            <w:tcW w:w="0" w:type="auto"/>
            <w:tcMar>
              <w:left w:w="43" w:type="dxa"/>
              <w:right w:w="43" w:type="dxa"/>
            </w:tcMar>
            <w:vAlign w:val="center"/>
            <w:hideMark/>
          </w:tcPr>
          <w:p w14:paraId="6453DC4A" w14:textId="0EA7AB4E" w:rsidR="001405FC" w:rsidRPr="001405FC" w:rsidRDefault="001405FC" w:rsidP="001405FC">
            <w:pPr>
              <w:jc w:val="right"/>
            </w:pPr>
            <w:r w:rsidRPr="001405FC">
              <w:t>32.7367</w:t>
            </w:r>
          </w:p>
        </w:tc>
        <w:tc>
          <w:tcPr>
            <w:tcW w:w="0" w:type="auto"/>
            <w:tcMar>
              <w:left w:w="43" w:type="dxa"/>
              <w:right w:w="43" w:type="dxa"/>
            </w:tcMar>
            <w:vAlign w:val="center"/>
            <w:hideMark/>
          </w:tcPr>
          <w:p w14:paraId="0036DD7A" w14:textId="32A78C46" w:rsidR="001405FC" w:rsidRPr="001405FC" w:rsidRDefault="001405FC" w:rsidP="001405FC">
            <w:pPr>
              <w:jc w:val="right"/>
            </w:pPr>
            <w:r w:rsidRPr="001405FC">
              <w:t>-96.7921</w:t>
            </w:r>
          </w:p>
        </w:tc>
        <w:tc>
          <w:tcPr>
            <w:tcW w:w="0" w:type="auto"/>
            <w:tcMar>
              <w:left w:w="43" w:type="dxa"/>
              <w:right w:w="43" w:type="dxa"/>
            </w:tcMar>
            <w:vAlign w:val="center"/>
            <w:hideMark/>
          </w:tcPr>
          <w:p w14:paraId="6D2643A0" w14:textId="77777777" w:rsidR="001405FC" w:rsidRPr="001405FC" w:rsidRDefault="001405FC" w:rsidP="001405FC">
            <w:pPr>
              <w:jc w:val="right"/>
            </w:pPr>
            <w:r w:rsidRPr="001405FC">
              <w:t>4862.041911</w:t>
            </w:r>
          </w:p>
        </w:tc>
        <w:tc>
          <w:tcPr>
            <w:tcW w:w="0" w:type="auto"/>
            <w:tcMar>
              <w:left w:w="43" w:type="dxa"/>
              <w:right w:w="43" w:type="dxa"/>
            </w:tcMar>
            <w:vAlign w:val="center"/>
            <w:hideMark/>
          </w:tcPr>
          <w:p w14:paraId="61CA306B" w14:textId="77777777" w:rsidR="001405FC" w:rsidRPr="001405FC" w:rsidRDefault="001405FC" w:rsidP="001405FC">
            <w:r w:rsidRPr="001405FC">
              <w:t>South Dallas</w:t>
            </w:r>
          </w:p>
        </w:tc>
        <w:tc>
          <w:tcPr>
            <w:tcW w:w="0" w:type="auto"/>
            <w:tcMar>
              <w:left w:w="72" w:type="dxa"/>
              <w:right w:w="43" w:type="dxa"/>
            </w:tcMar>
            <w:vAlign w:val="center"/>
            <w:hideMark/>
          </w:tcPr>
          <w:p w14:paraId="2FFE8EE2" w14:textId="77777777" w:rsidR="001405FC" w:rsidRPr="001405FC" w:rsidRDefault="001405FC" w:rsidP="001405FC">
            <w:pPr>
              <w:jc w:val="right"/>
            </w:pPr>
            <w:r w:rsidRPr="001405FC">
              <w:t>0</w:t>
            </w:r>
          </w:p>
        </w:tc>
      </w:tr>
    </w:tbl>
    <w:p w14:paraId="09F27B29" w14:textId="5F8041D9" w:rsidR="001405FC" w:rsidRDefault="001405FC" w:rsidP="001405FC"/>
    <w:p w14:paraId="566B01F7" w14:textId="7A915DED" w:rsidR="00144825" w:rsidRDefault="00144825" w:rsidP="001405FC">
      <w:r>
        <w:t>For each location, the average distance to the nearest Asian Restaurant was 1.41 km and the average distance to the nearest Thai Food Restaurant was 1.64 km.</w:t>
      </w:r>
    </w:p>
    <w:p w14:paraId="35CD43DC" w14:textId="3CE36CF4" w:rsidR="00144825" w:rsidRDefault="00144825" w:rsidP="001405FC">
      <w:r>
        <w:t>In total, we identified 208 locations out of the initial 365 that contained 0 or 1 restaurant.</w:t>
      </w:r>
    </w:p>
    <w:p w14:paraId="0422A57E" w14:textId="77777777" w:rsidR="00144825" w:rsidRDefault="00144825" w:rsidP="001405FC"/>
    <w:p w14:paraId="7BD7AC9F" w14:textId="7D38A072" w:rsidR="00144825" w:rsidRDefault="00144825" w:rsidP="001405FC">
      <w:r>
        <w:rPr>
          <w:noProof/>
        </w:rPr>
        <w:drawing>
          <wp:inline distT="0" distB="0" distL="0" distR="0" wp14:anchorId="0A862E45" wp14:editId="69EFEDE6">
            <wp:extent cx="3533775" cy="252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409" cy="2531527"/>
                    </a:xfrm>
                    <a:prstGeom prst="rect">
                      <a:avLst/>
                    </a:prstGeom>
                    <a:noFill/>
                    <a:ln>
                      <a:noFill/>
                    </a:ln>
                  </pic:spPr>
                </pic:pic>
              </a:graphicData>
            </a:graphic>
          </wp:inline>
        </w:drawing>
      </w:r>
    </w:p>
    <w:p w14:paraId="00701FF7" w14:textId="5A2CCB50" w:rsidR="00144825" w:rsidRDefault="00144825" w:rsidP="00144825">
      <w:pPr>
        <w:pStyle w:val="Heading2"/>
      </w:pPr>
      <w:r>
        <w:t>Scoring the Suitability of the Remaining Locations</w:t>
      </w:r>
    </w:p>
    <w:p w14:paraId="0380AA10" w14:textId="737996E1" w:rsidR="00144825" w:rsidRDefault="00144825" w:rsidP="00144825">
      <w:r>
        <w:t>We chose 3 criteria with which to evaluate each of the remaining 208 locations.</w:t>
      </w:r>
    </w:p>
    <w:p w14:paraId="6FB06038" w14:textId="69BEAB29" w:rsidR="00144825" w:rsidRDefault="00144825" w:rsidP="00144825">
      <w:pPr>
        <w:pStyle w:val="ListParagraph"/>
        <w:numPr>
          <w:ilvl w:val="0"/>
          <w:numId w:val="5"/>
        </w:numPr>
      </w:pPr>
      <w:r>
        <w:t>The distance to the nearest Asian Restaurant</w:t>
      </w:r>
    </w:p>
    <w:p w14:paraId="52B92CF1" w14:textId="46748438" w:rsidR="00144825" w:rsidRDefault="00144825" w:rsidP="00144825">
      <w:pPr>
        <w:pStyle w:val="ListParagraph"/>
        <w:numPr>
          <w:ilvl w:val="0"/>
          <w:numId w:val="5"/>
        </w:numPr>
      </w:pPr>
      <w:r>
        <w:t>The distance to the Dallas City Center</w:t>
      </w:r>
    </w:p>
    <w:p w14:paraId="7F012225" w14:textId="3656E023" w:rsidR="00144825" w:rsidRDefault="00144825" w:rsidP="00144825">
      <w:pPr>
        <w:pStyle w:val="ListParagraph"/>
        <w:numPr>
          <w:ilvl w:val="0"/>
          <w:numId w:val="5"/>
        </w:numPr>
      </w:pPr>
      <w:r>
        <w:t>The WalkScore.com rating</w:t>
      </w:r>
    </w:p>
    <w:p w14:paraId="202DF1B5" w14:textId="0602C98D" w:rsidR="00144825" w:rsidRDefault="00144825" w:rsidP="00144825">
      <w:r>
        <w:t>These combined scores created a balanced overview of the required criteria as most locations near the city center would score well on foot traffic and poorly on proximity to other Asian Restaurants, and those farther from the city center would show relatively opposite results.</w:t>
      </w:r>
    </w:p>
    <w:p w14:paraId="33FACB3D" w14:textId="49F1E7AF" w:rsidR="0079009F" w:rsidRDefault="0079009F" w:rsidP="00144825">
      <w:r>
        <w:t>The higher the total score, the better the location’s overall ranking.</w:t>
      </w:r>
    </w:p>
    <w:p w14:paraId="713DE268" w14:textId="6051F605" w:rsidR="00144825" w:rsidRDefault="00144825" w:rsidP="00144825">
      <w:r>
        <w:rPr>
          <w:noProof/>
        </w:rPr>
        <w:drawing>
          <wp:inline distT="0" distB="0" distL="0" distR="0" wp14:anchorId="0365B641" wp14:editId="17822B9E">
            <wp:extent cx="3705225" cy="2700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46" cy="2707605"/>
                    </a:xfrm>
                    <a:prstGeom prst="rect">
                      <a:avLst/>
                    </a:prstGeom>
                    <a:noFill/>
                    <a:ln>
                      <a:noFill/>
                    </a:ln>
                  </pic:spPr>
                </pic:pic>
              </a:graphicData>
            </a:graphic>
          </wp:inline>
        </w:drawing>
      </w:r>
    </w:p>
    <w:p w14:paraId="435808AA" w14:textId="512BC10B" w:rsidR="0079009F" w:rsidRDefault="0079009F" w:rsidP="0079009F">
      <w:pPr>
        <w:pStyle w:val="Heading1"/>
      </w:pPr>
      <w:r>
        <w:t xml:space="preserve">Results </w:t>
      </w:r>
      <w:r w:rsidR="006B7E7C">
        <w:t>&amp; Discussion</w:t>
      </w:r>
    </w:p>
    <w:p w14:paraId="6DF072FC" w14:textId="2794176D" w:rsidR="0079009F" w:rsidRDefault="0079009F" w:rsidP="0079009F">
      <w:r>
        <w:t>After evaluating the scores, three locations shared the highest score (8 out of 12), and twenty locations had a score of 7 out of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79009F" w14:paraId="613505DD" w14:textId="77777777" w:rsidTr="0079009F">
        <w:tc>
          <w:tcPr>
            <w:tcW w:w="1440" w:type="dxa"/>
          </w:tcPr>
          <w:p w14:paraId="5444FAF1" w14:textId="0623F25E" w:rsidR="0079009F" w:rsidRPr="0079009F" w:rsidRDefault="0079009F" w:rsidP="0079009F">
            <w:pPr>
              <w:jc w:val="right"/>
              <w:rPr>
                <w:b/>
                <w:bCs/>
              </w:rPr>
            </w:pPr>
            <w:r w:rsidRPr="0079009F">
              <w:rPr>
                <w:b/>
                <w:bCs/>
              </w:rPr>
              <w:t>Total Score</w:t>
            </w:r>
          </w:p>
        </w:tc>
        <w:tc>
          <w:tcPr>
            <w:tcW w:w="1440" w:type="dxa"/>
          </w:tcPr>
          <w:p w14:paraId="755BE389" w14:textId="1A539FB8" w:rsidR="0079009F" w:rsidRPr="0079009F" w:rsidRDefault="0079009F" w:rsidP="0079009F">
            <w:pPr>
              <w:jc w:val="right"/>
              <w:rPr>
                <w:b/>
                <w:bCs/>
              </w:rPr>
            </w:pPr>
            <w:r w:rsidRPr="0079009F">
              <w:rPr>
                <w:b/>
                <w:bCs/>
              </w:rPr>
              <w:t>Number of Locations</w:t>
            </w:r>
          </w:p>
        </w:tc>
      </w:tr>
      <w:tr w:rsidR="0079009F" w14:paraId="1456FB03" w14:textId="77777777" w:rsidTr="0079009F">
        <w:tc>
          <w:tcPr>
            <w:tcW w:w="1440" w:type="dxa"/>
          </w:tcPr>
          <w:p w14:paraId="4A2EDC4E" w14:textId="15231A08" w:rsidR="0079009F" w:rsidRDefault="0079009F" w:rsidP="0079009F">
            <w:pPr>
              <w:jc w:val="right"/>
            </w:pPr>
            <w:r>
              <w:t>0</w:t>
            </w:r>
          </w:p>
        </w:tc>
        <w:tc>
          <w:tcPr>
            <w:tcW w:w="1440" w:type="dxa"/>
          </w:tcPr>
          <w:p w14:paraId="02C68132" w14:textId="59C5986C" w:rsidR="0079009F" w:rsidRDefault="0079009F" w:rsidP="0079009F">
            <w:pPr>
              <w:jc w:val="right"/>
            </w:pPr>
            <w:r>
              <w:t>0</w:t>
            </w:r>
          </w:p>
        </w:tc>
      </w:tr>
      <w:tr w:rsidR="0079009F" w14:paraId="23D507FA" w14:textId="77777777" w:rsidTr="0079009F">
        <w:tc>
          <w:tcPr>
            <w:tcW w:w="1440" w:type="dxa"/>
          </w:tcPr>
          <w:p w14:paraId="67E85D22" w14:textId="7EAA639E" w:rsidR="0079009F" w:rsidRDefault="0079009F" w:rsidP="0079009F">
            <w:pPr>
              <w:jc w:val="right"/>
            </w:pPr>
            <w:r>
              <w:t>1</w:t>
            </w:r>
          </w:p>
        </w:tc>
        <w:tc>
          <w:tcPr>
            <w:tcW w:w="1440" w:type="dxa"/>
          </w:tcPr>
          <w:p w14:paraId="5849D74A" w14:textId="0C754413" w:rsidR="0079009F" w:rsidRDefault="0079009F" w:rsidP="0079009F">
            <w:pPr>
              <w:jc w:val="right"/>
            </w:pPr>
            <w:r>
              <w:t>0</w:t>
            </w:r>
          </w:p>
        </w:tc>
      </w:tr>
      <w:tr w:rsidR="0079009F" w14:paraId="2B125414" w14:textId="77777777" w:rsidTr="0079009F">
        <w:tc>
          <w:tcPr>
            <w:tcW w:w="1440" w:type="dxa"/>
          </w:tcPr>
          <w:p w14:paraId="3E9FD058" w14:textId="69BCA5DF" w:rsidR="0079009F" w:rsidRDefault="0079009F" w:rsidP="0079009F">
            <w:pPr>
              <w:jc w:val="right"/>
            </w:pPr>
            <w:r>
              <w:t>2</w:t>
            </w:r>
          </w:p>
        </w:tc>
        <w:tc>
          <w:tcPr>
            <w:tcW w:w="1440" w:type="dxa"/>
          </w:tcPr>
          <w:p w14:paraId="1408A799" w14:textId="09C14268" w:rsidR="0079009F" w:rsidRDefault="0079009F" w:rsidP="0079009F">
            <w:pPr>
              <w:jc w:val="right"/>
            </w:pPr>
            <w:r>
              <w:t>8</w:t>
            </w:r>
          </w:p>
        </w:tc>
      </w:tr>
      <w:tr w:rsidR="0079009F" w14:paraId="3E36F597" w14:textId="77777777" w:rsidTr="0079009F">
        <w:tc>
          <w:tcPr>
            <w:tcW w:w="1440" w:type="dxa"/>
          </w:tcPr>
          <w:p w14:paraId="79303F48" w14:textId="0534576C" w:rsidR="0079009F" w:rsidRDefault="0079009F" w:rsidP="0079009F">
            <w:pPr>
              <w:jc w:val="right"/>
            </w:pPr>
            <w:r>
              <w:t>3</w:t>
            </w:r>
          </w:p>
        </w:tc>
        <w:tc>
          <w:tcPr>
            <w:tcW w:w="1440" w:type="dxa"/>
          </w:tcPr>
          <w:p w14:paraId="4AF899F4" w14:textId="39E3E115" w:rsidR="0079009F" w:rsidRDefault="0079009F" w:rsidP="0079009F">
            <w:pPr>
              <w:jc w:val="right"/>
            </w:pPr>
            <w:r>
              <w:t>26</w:t>
            </w:r>
          </w:p>
        </w:tc>
      </w:tr>
      <w:tr w:rsidR="0079009F" w14:paraId="27DFF63D" w14:textId="77777777" w:rsidTr="0079009F">
        <w:tc>
          <w:tcPr>
            <w:tcW w:w="1440" w:type="dxa"/>
          </w:tcPr>
          <w:p w14:paraId="5D78746D" w14:textId="440A83EE" w:rsidR="0079009F" w:rsidRDefault="0079009F" w:rsidP="0079009F">
            <w:pPr>
              <w:jc w:val="right"/>
            </w:pPr>
            <w:r>
              <w:t>4</w:t>
            </w:r>
          </w:p>
        </w:tc>
        <w:tc>
          <w:tcPr>
            <w:tcW w:w="1440" w:type="dxa"/>
          </w:tcPr>
          <w:p w14:paraId="711759E1" w14:textId="5F979BDA" w:rsidR="0079009F" w:rsidRDefault="0079009F" w:rsidP="0079009F">
            <w:pPr>
              <w:jc w:val="right"/>
            </w:pPr>
            <w:r>
              <w:t>53</w:t>
            </w:r>
          </w:p>
        </w:tc>
      </w:tr>
      <w:tr w:rsidR="0079009F" w14:paraId="637C4556" w14:textId="77777777" w:rsidTr="0079009F">
        <w:tc>
          <w:tcPr>
            <w:tcW w:w="1440" w:type="dxa"/>
          </w:tcPr>
          <w:p w14:paraId="19FCCC94" w14:textId="77777777" w:rsidR="0079009F" w:rsidRDefault="0079009F" w:rsidP="0079009F">
            <w:pPr>
              <w:jc w:val="right"/>
            </w:pPr>
            <w:r>
              <w:t>5</w:t>
            </w:r>
          </w:p>
        </w:tc>
        <w:tc>
          <w:tcPr>
            <w:tcW w:w="1440" w:type="dxa"/>
          </w:tcPr>
          <w:p w14:paraId="1241057D" w14:textId="5D9C25A1" w:rsidR="0079009F" w:rsidRDefault="0079009F" w:rsidP="0079009F">
            <w:pPr>
              <w:jc w:val="right"/>
            </w:pPr>
            <w:r>
              <w:t>59</w:t>
            </w:r>
          </w:p>
        </w:tc>
      </w:tr>
      <w:tr w:rsidR="0079009F" w14:paraId="758D55C0" w14:textId="77777777" w:rsidTr="0079009F">
        <w:tc>
          <w:tcPr>
            <w:tcW w:w="1440" w:type="dxa"/>
          </w:tcPr>
          <w:p w14:paraId="317CD7BB" w14:textId="77777777" w:rsidR="0079009F" w:rsidRDefault="0079009F" w:rsidP="0079009F">
            <w:pPr>
              <w:jc w:val="right"/>
            </w:pPr>
            <w:r>
              <w:t>6</w:t>
            </w:r>
          </w:p>
        </w:tc>
        <w:tc>
          <w:tcPr>
            <w:tcW w:w="1440" w:type="dxa"/>
          </w:tcPr>
          <w:p w14:paraId="1D6CE4AC" w14:textId="5803F660" w:rsidR="0079009F" w:rsidRDefault="0079009F" w:rsidP="0079009F">
            <w:pPr>
              <w:jc w:val="right"/>
            </w:pPr>
            <w:r>
              <w:t>39</w:t>
            </w:r>
          </w:p>
        </w:tc>
      </w:tr>
      <w:tr w:rsidR="0079009F" w14:paraId="36F9D6DF" w14:textId="77777777" w:rsidTr="0079009F">
        <w:tc>
          <w:tcPr>
            <w:tcW w:w="1440" w:type="dxa"/>
          </w:tcPr>
          <w:p w14:paraId="55F65268" w14:textId="397A65CD" w:rsidR="0079009F" w:rsidRDefault="0079009F" w:rsidP="0079009F">
            <w:pPr>
              <w:jc w:val="right"/>
            </w:pPr>
            <w:r>
              <w:t>7</w:t>
            </w:r>
          </w:p>
        </w:tc>
        <w:tc>
          <w:tcPr>
            <w:tcW w:w="1440" w:type="dxa"/>
          </w:tcPr>
          <w:p w14:paraId="65C44E39" w14:textId="10D1AE9B" w:rsidR="0079009F" w:rsidRDefault="0079009F" w:rsidP="0079009F">
            <w:pPr>
              <w:jc w:val="right"/>
            </w:pPr>
            <w:r>
              <w:t>20</w:t>
            </w:r>
          </w:p>
        </w:tc>
      </w:tr>
      <w:tr w:rsidR="0079009F" w14:paraId="32DDACFB" w14:textId="77777777" w:rsidTr="0079009F">
        <w:tc>
          <w:tcPr>
            <w:tcW w:w="1440" w:type="dxa"/>
          </w:tcPr>
          <w:p w14:paraId="29B4EDA6" w14:textId="4AB340B1" w:rsidR="0079009F" w:rsidRDefault="0079009F" w:rsidP="0079009F">
            <w:pPr>
              <w:jc w:val="right"/>
            </w:pPr>
            <w:r>
              <w:t>8</w:t>
            </w:r>
          </w:p>
        </w:tc>
        <w:tc>
          <w:tcPr>
            <w:tcW w:w="1440" w:type="dxa"/>
          </w:tcPr>
          <w:p w14:paraId="1D0DBB78" w14:textId="5724183F" w:rsidR="0079009F" w:rsidRDefault="0079009F" w:rsidP="0079009F">
            <w:pPr>
              <w:jc w:val="right"/>
            </w:pPr>
            <w:r>
              <w:t>3</w:t>
            </w:r>
          </w:p>
        </w:tc>
      </w:tr>
    </w:tbl>
    <w:p w14:paraId="70E40EA4" w14:textId="3F2D249C" w:rsidR="0079009F" w:rsidRDefault="0079009F" w:rsidP="0079009F"/>
    <w:p w14:paraId="1A1EB1C8" w14:textId="77777777" w:rsidR="006B7E7C" w:rsidRDefault="0079009F" w:rsidP="0079009F">
      <w:r>
        <w:t>The below map shows that the most promising locations are near the city center, in small pockets of space where there are not currently many other restaurants.</w:t>
      </w:r>
    </w:p>
    <w:p w14:paraId="663DE2BB" w14:textId="62094EBE" w:rsidR="0079009F" w:rsidRDefault="0079009F" w:rsidP="0079009F">
      <w:r>
        <w:rPr>
          <w:noProof/>
        </w:rPr>
        <w:drawing>
          <wp:inline distT="0" distB="0" distL="0" distR="0" wp14:anchorId="3EBA74A7" wp14:editId="7C8585B6">
            <wp:extent cx="5943600" cy="463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1690"/>
                    </a:xfrm>
                    <a:prstGeom prst="rect">
                      <a:avLst/>
                    </a:prstGeom>
                  </pic:spPr>
                </pic:pic>
              </a:graphicData>
            </a:graphic>
          </wp:inline>
        </w:drawing>
      </w:r>
    </w:p>
    <w:p w14:paraId="455A8A00" w14:textId="38A171DD" w:rsidR="006B7E7C" w:rsidRDefault="006B7E7C" w:rsidP="0079009F">
      <w:r>
        <w:t>The combination of scores for both Walkability and Distance from City Center weighed the resulting total score appropriately to put more emphasis on the overall traffic in a location.  The score for Distance from Nearest Asian Restaurant was slightly less powerful, to appropriately rank the residential areas without much competition slightly lower than the downtown areas with competition that was slightly higher but still within an acceptable range.</w:t>
      </w:r>
    </w:p>
    <w:p w14:paraId="306D4D26" w14:textId="77777777" w:rsidR="006B7E7C" w:rsidRDefault="006B7E7C" w:rsidP="0079009F"/>
    <w:p w14:paraId="0B308463" w14:textId="6F4BAB04" w:rsidR="006B7E7C" w:rsidRDefault="006B7E7C" w:rsidP="006B7E7C">
      <w:pPr>
        <w:pStyle w:val="Heading1"/>
      </w:pPr>
      <w:r>
        <w:t>Conclusion</w:t>
      </w:r>
    </w:p>
    <w:p w14:paraId="435FE6C6" w14:textId="77777777" w:rsidR="006B7E7C" w:rsidRDefault="006B7E7C" w:rsidP="006B7E7C">
      <w:pPr>
        <w:contextualSpacing/>
      </w:pPr>
      <w:r>
        <w:t>Our analysis shows that Dallas is a large, complex city with a significant number of restaurants. However, there are certainly areas with a very high density of restaurants, and other areas with a much lower density of restaurants. We determined that there were a large number of areas within a 10 km radius of the city center that actually contained 1 or 0 restaurants.</w:t>
      </w:r>
      <w:r>
        <w:br/>
      </w:r>
      <w:r>
        <w:br/>
        <w:t>We then narrowed our search to those areas with limited competition. We graded each location on their distance from city center, their distance from the nearest existing Asian Cuisine Restaurant, and their walkability score from WalkScore.com.</w:t>
      </w:r>
    </w:p>
    <w:p w14:paraId="44EC9C8F" w14:textId="49224939" w:rsidR="006B7E7C" w:rsidRPr="006B7E7C" w:rsidRDefault="006B7E7C" w:rsidP="006B7E7C">
      <w:pPr>
        <w:contextualSpacing/>
      </w:pPr>
      <w:r>
        <w:br/>
        <w:t xml:space="preserve">This project aimed to analyze the city of Dallas and identify locations of interest for a potential new Thai Food restaurant. After narrowing the search to locations with limited competition, we can </w:t>
      </w:r>
      <w:r>
        <w:t>a</w:t>
      </w:r>
      <w:r>
        <w:t xml:space="preserve"> list</w:t>
      </w:r>
      <w:r>
        <w:t xml:space="preserve"> of possibilities</w:t>
      </w:r>
      <w:r>
        <w:t xml:space="preserve"> in order of suitability based on the specific factors of walkability and distance from the city center. Other factors will need to be considered when stakeholders are determining which area from the list best suits their needs.</w:t>
      </w:r>
    </w:p>
    <w:p w14:paraId="17656B88" w14:textId="77777777" w:rsidR="006B7E7C" w:rsidRPr="0079009F" w:rsidRDefault="006B7E7C" w:rsidP="0079009F"/>
    <w:sectPr w:rsidR="006B7E7C" w:rsidRPr="0079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7ED"/>
    <w:multiLevelType w:val="hybridMultilevel"/>
    <w:tmpl w:val="F09089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65C79FD"/>
    <w:multiLevelType w:val="hybridMultilevel"/>
    <w:tmpl w:val="5AC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F45CF"/>
    <w:multiLevelType w:val="hybridMultilevel"/>
    <w:tmpl w:val="A32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2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3A45B49"/>
    <w:multiLevelType w:val="hybridMultilevel"/>
    <w:tmpl w:val="90BE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A3"/>
    <w:rsid w:val="001405FC"/>
    <w:rsid w:val="00144825"/>
    <w:rsid w:val="00230D5C"/>
    <w:rsid w:val="006B7E7C"/>
    <w:rsid w:val="0079009F"/>
    <w:rsid w:val="009705B2"/>
    <w:rsid w:val="009A06A3"/>
    <w:rsid w:val="00FF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55FD"/>
  <w15:chartTrackingRefBased/>
  <w15:docId w15:val="{857FDB59-E2E3-4A11-9DA5-F1449CC6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A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A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06A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6A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6A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6A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6A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6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6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06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6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6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6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6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6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6A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A06A3"/>
    <w:rPr>
      <w:color w:val="0563C1" w:themeColor="hyperlink"/>
      <w:u w:val="single"/>
    </w:rPr>
  </w:style>
  <w:style w:type="character" w:styleId="UnresolvedMention">
    <w:name w:val="Unresolved Mention"/>
    <w:basedOn w:val="DefaultParagraphFont"/>
    <w:uiPriority w:val="99"/>
    <w:semiHidden/>
    <w:unhideWhenUsed/>
    <w:rsid w:val="009A06A3"/>
    <w:rPr>
      <w:color w:val="605E5C"/>
      <w:shd w:val="clear" w:color="auto" w:fill="E1DFDD"/>
    </w:rPr>
  </w:style>
  <w:style w:type="paragraph" w:styleId="ListParagraph">
    <w:name w:val="List Paragraph"/>
    <w:basedOn w:val="Normal"/>
    <w:uiPriority w:val="34"/>
    <w:qFormat/>
    <w:rsid w:val="009705B2"/>
    <w:pPr>
      <w:ind w:left="720"/>
      <w:contextualSpacing/>
    </w:pPr>
  </w:style>
  <w:style w:type="paragraph" w:styleId="Caption">
    <w:name w:val="caption"/>
    <w:basedOn w:val="Normal"/>
    <w:next w:val="Normal"/>
    <w:uiPriority w:val="35"/>
    <w:unhideWhenUsed/>
    <w:qFormat/>
    <w:rsid w:val="00144825"/>
    <w:pPr>
      <w:spacing w:after="200" w:line="240" w:lineRule="auto"/>
    </w:pPr>
    <w:rPr>
      <w:i/>
      <w:iCs/>
      <w:color w:val="44546A" w:themeColor="text2"/>
      <w:sz w:val="18"/>
      <w:szCs w:val="18"/>
    </w:rPr>
  </w:style>
  <w:style w:type="table" w:styleId="TableGrid">
    <w:name w:val="Table Grid"/>
    <w:basedOn w:val="TableNormal"/>
    <w:uiPriority w:val="39"/>
    <w:rsid w:val="0079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225077">
      <w:bodyDiv w:val="1"/>
      <w:marLeft w:val="0"/>
      <w:marRight w:val="0"/>
      <w:marTop w:val="0"/>
      <w:marBottom w:val="0"/>
      <w:divBdr>
        <w:top w:val="none" w:sz="0" w:space="0" w:color="auto"/>
        <w:left w:val="none" w:sz="0" w:space="0" w:color="auto"/>
        <w:bottom w:val="none" w:sz="0" w:space="0" w:color="auto"/>
        <w:right w:val="none" w:sz="0" w:space="0" w:color="auto"/>
      </w:divBdr>
    </w:div>
    <w:div w:id="21162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remagazine.com/articles/dallas-restaurant-scene/" TargetMode="External"/><Relationship Id="rId11" Type="http://schemas.openxmlformats.org/officeDocument/2006/relationships/theme" Target="theme/theme1.xml"/><Relationship Id="rId5" Type="http://schemas.openxmlformats.org/officeDocument/2006/relationships/hyperlink" Target="https://dallas.eater.com/2021/4/21/22394513/mike-chen-strictly-dumpling-dallas-asian-restaurant-dining-scene-spotligh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850</Words>
  <Characters>4847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    Background</vt:lpstr>
      <vt:lpstr>    Problem</vt:lpstr>
      <vt:lpstr>    Interest</vt:lpstr>
      <vt:lpstr>Data Acquisition and Cleaning</vt:lpstr>
      <vt:lpstr>    Data Sources</vt:lpstr>
      <vt:lpstr>    Data Cleaning</vt:lpstr>
      <vt:lpstr>Methodology</vt:lpstr>
      <vt:lpstr>    Exploratory Data Analysis</vt:lpstr>
      <vt:lpstr>    Scoring the Suitability of the Remaining Locations</vt:lpstr>
      <vt:lpstr>Results Section</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2021-05-16T01:52:00Z</dcterms:created>
  <dcterms:modified xsi:type="dcterms:W3CDTF">2021-05-16T02:50:00Z</dcterms:modified>
</cp:coreProperties>
</file>