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53B63"/>
          <w:sz w:val="76"/>
        </w:rPr>
        <w:t>MentoAI</w:t>
      </w:r>
    </w:p>
    <w:p>
      <w:pPr>
        <w:jc w:val="center"/>
      </w:pPr>
      <w:r>
        <w:rPr>
          <w:color w:val="10A6A6"/>
          <w:sz w:val="36"/>
        </w:rPr>
        <w:t>Copiloto Comercial com Inteligência Artificial</w:t>
      </w:r>
    </w:p>
    <w:p>
      <w:pPr>
        <w:spacing w:before="560"/>
        <w:jc w:val="center"/>
      </w:pPr>
      <w:r>
        <w:rPr>
          <w:b/>
          <w:color w:val="153B63"/>
          <w:sz w:val="26"/>
        </w:rPr>
        <w:t>DOCUMENTAÇÃO TÉCNICA • DOMAIN-DRIVEN DESIGN</w:t>
      </w:r>
    </w:p>
    <w:p>
      <w:pPr>
        <w:jc w:val="center"/>
      </w:pPr>
      <w:r>
        <w:rPr>
          <w:sz w:val="24"/>
        </w:rPr>
        <w:t>SPRINT 4  |  CHALLENGE TOTVS 2026</w:t>
      </w:r>
    </w:p>
    <w:p>
      <w:pPr>
        <w:spacing w:before="480"/>
        <w:jc w:val="center"/>
      </w:pPr>
      <w:r>
        <w:rPr>
          <w:b/>
        </w:rPr>
        <w:t>Equipe 1 • 2ESPX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7488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728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RM</w:t>
            </w:r>
          </w:p>
        </w:tc>
      </w:tr>
      <w:tr>
        <w:tc>
          <w:tcPr>
            <w:tcW w:type="dxa" w:w="7488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Pedro Henrique dos Santos</w:t>
            </w:r>
          </w:p>
        </w:tc>
        <w:tc>
          <w:tcPr>
            <w:tcW w:type="dxa" w:w="1728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RM564188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Pedro Cunha Coutinho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RM562191</w:t>
            </w:r>
          </w:p>
        </w:tc>
      </w:tr>
      <w:tr>
        <w:tc>
          <w:tcPr>
            <w:tcW w:type="dxa" w:w="7488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Breno Henrique Bortoloti Santos</w:t>
            </w:r>
          </w:p>
        </w:tc>
        <w:tc>
          <w:tcPr>
            <w:tcW w:type="dxa" w:w="1728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RM562856</w:t>
            </w:r>
          </w:p>
        </w:tc>
      </w:tr>
      <w:tr>
        <w:tc>
          <w:tcPr>
            <w:tcW w:type="dxa" w:w="748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Thomaz Vasconcelos Mendes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RM564805</w:t>
            </w:r>
          </w:p>
        </w:tc>
      </w:tr>
      <w:tr>
        <w:tc>
          <w:tcPr>
            <w:tcW w:type="dxa" w:w="7488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Nicolas Tetsuo Kimura</w:t>
            </w:r>
          </w:p>
        </w:tc>
        <w:tc>
          <w:tcPr>
            <w:tcW w:type="dxa" w:w="1728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20"/>
              </w:rPr>
              <w:t>RM565377</w:t>
            </w:r>
          </w:p>
        </w:tc>
      </w:tr>
    </w:tbl>
    <w:p>
      <w:pPr>
        <w:spacing w:after="20"/>
      </w:pPr>
    </w:p>
    <w:p>
      <w:pPr>
        <w:spacing w:before="480"/>
        <w:jc w:val="center"/>
      </w:pPr>
      <w:r>
        <w:rPr>
          <w:b/>
        </w:rPr>
        <w:t>FIAP •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80"/>
      </w:pPr>
      <w:r>
        <w:t>1. Descritivo do Projeto</w:t>
      </w:r>
      <w:r>
        <w:t xml:space="preserve">  ....................................  3</w:t>
      </w:r>
    </w:p>
    <w:p>
      <w:pPr>
        <w:spacing w:after="80"/>
      </w:pPr>
      <w:r>
        <w:t>1.1 Objetivo e Escopo</w:t>
      </w:r>
      <w:r>
        <w:t xml:space="preserve">  .......................................  3</w:t>
      </w:r>
    </w:p>
    <w:p>
      <w:pPr>
        <w:spacing w:after="80"/>
      </w:pPr>
      <w:r>
        <w:t>1.2 Principais Funcionalidades</w:t>
      </w:r>
      <w:r>
        <w:t xml:space="preserve">  ..............................  3</w:t>
      </w:r>
    </w:p>
    <w:p>
      <w:pPr>
        <w:spacing w:after="80"/>
      </w:pPr>
      <w:r>
        <w:t>2. Endpoints REST</w:t>
      </w:r>
      <w:r>
        <w:t xml:space="preserve">  ...........................................  4</w:t>
      </w:r>
    </w:p>
    <w:p>
      <w:pPr>
        <w:spacing w:after="80"/>
      </w:pPr>
      <w:r>
        <w:t>2.1 Clientes e reuniões</w:t>
      </w:r>
      <w:r>
        <w:t xml:space="preserve">  .....................................  4</w:t>
      </w:r>
    </w:p>
    <w:p>
      <w:pPr>
        <w:spacing w:after="80"/>
      </w:pPr>
      <w:r>
        <w:t>2.2 Transcrições e análises</w:t>
      </w:r>
      <w:r>
        <w:t xml:space="preserve">  .................................  4</w:t>
      </w:r>
    </w:p>
    <w:p>
      <w:pPr>
        <w:spacing w:after="80"/>
      </w:pPr>
      <w:r>
        <w:t>2.3 Alertas e copiloto</w:t>
      </w:r>
      <w:r>
        <w:t xml:space="preserve">  ......................................  5</w:t>
      </w:r>
    </w:p>
    <w:p>
      <w:pPr>
        <w:spacing w:after="80"/>
      </w:pPr>
      <w:r>
        <w:t>2.4 Usuários, autenticação e feedback</w:t>
      </w:r>
      <w:r>
        <w:t xml:space="preserve">  .......................  5</w:t>
      </w:r>
    </w:p>
    <w:p>
      <w:pPr>
        <w:spacing w:after="80"/>
      </w:pPr>
      <w:r>
        <w:t>3. Protótipo — telas</w:t>
      </w:r>
      <w:r>
        <w:t xml:space="preserve">  ........................................  6</w:t>
      </w:r>
    </w:p>
    <w:p>
      <w:pPr>
        <w:spacing w:after="80"/>
      </w:pPr>
      <w:r>
        <w:t>4. Modelo do Banco de Dados</w:t>
      </w:r>
      <w:r>
        <w:t xml:space="preserve">  .................................  13</w:t>
      </w:r>
    </w:p>
    <w:p>
      <w:pPr>
        <w:spacing w:after="80"/>
      </w:pPr>
      <w:r>
        <w:t>5. Diagrama de Classes</w:t>
      </w:r>
      <w:r>
        <w:t xml:space="preserve">  ......................................  14</w:t>
      </w:r>
    </w:p>
    <w:p>
      <w:r>
        <w:br w:type="page"/>
      </w:r>
    </w:p>
    <w:p>
      <w:pPr>
        <w:pStyle w:val="Heading1"/>
      </w:pPr>
      <w:r>
        <w:t>1. Descritivo do Projeto</w:t>
      </w:r>
    </w:p>
    <w:p>
      <w:pPr>
        <w:pStyle w:val="Heading2"/>
      </w:pPr>
      <w:r>
        <w:t>1.1 Objetivo e Escopo</w:t>
      </w:r>
    </w:p>
    <w:p>
      <w:r>
        <w:t>O MentoAI é um copiloto comercial consultivo que organiza o conhecimento registrado em reuniões com clientes e o transforma em informação acessível para apoiar gestores comerciais. O sistema processa transcrições, estrutura resumos, insights e sinais comerciais e mantém uma memória contextual associada ao histórico do cliente.</w:t>
      </w:r>
    </w:p>
    <w:p>
      <w:r>
        <w:t>O usuário pode consultar esse histórico e fazer perguntas ao copiloto. As respostas são fundamentadas no contexto recuperado; quando os dados são insuficientes, essa limitação deve ser indicada. O MentoAI apoia a análise humana: a avaliação das sugestões e a decisão comercial permanecem com o gestor.</w:t>
      </w:r>
    </w:p>
    <w:p>
      <w:pPr>
        <w:pStyle w:val="Heading3"/>
      </w:pPr>
      <w:r>
        <w:t>Escopo do MVP</w:t>
      </w:r>
    </w:p>
    <w:p>
      <w:pPr>
        <w:pStyle w:val="ListBullet"/>
        <w:spacing w:after="40"/>
      </w:pPr>
      <w:r>
        <w:t>Cadastrar, consultar, pesquisar, atualizar e ativar/desativar clientes e usuários.</w:t>
      </w:r>
    </w:p>
    <w:p>
      <w:pPr>
        <w:pStyle w:val="ListBullet"/>
        <w:spacing w:after="40"/>
      </w:pPr>
      <w:r>
        <w:t>Registrar reuniões e transcrições vinculadas a clientes e responsáveis.</w:t>
      </w:r>
    </w:p>
    <w:p>
      <w:pPr>
        <w:pStyle w:val="ListBullet"/>
        <w:spacing w:after="40"/>
      </w:pPr>
      <w:r>
        <w:t>Processar transcrições de forma assíncrona e produzir resumo executivo, sentimento, insights e sinais com evidências.</w:t>
      </w:r>
    </w:p>
    <w:p>
      <w:pPr>
        <w:pStyle w:val="ListBullet"/>
        <w:spacing w:after="40"/>
      </w:pPr>
      <w:r>
        <w:t>Consolidar memória contextual por cliente e disponibilizar consultas ao copiloto com histórico de conversas.</w:t>
      </w:r>
    </w:p>
    <w:p>
      <w:pPr>
        <w:pStyle w:val="ListBullet"/>
        <w:spacing w:after="40"/>
      </w:pPr>
      <w:r>
        <w:t>Apresentar alertas de prioridade comercial e registrar sua leitura por usuário.</w:t>
      </w:r>
    </w:p>
    <w:p>
      <w:pPr>
        <w:pStyle w:val="ListBullet"/>
        <w:spacing w:after="40"/>
      </w:pPr>
      <w:r>
        <w:t>Oferecer autenticação, acompanhamento da fila de análises e feedback do usuário.</w:t>
      </w:r>
    </w:p>
    <w:p>
      <w:r>
        <w:t>Fora do escopo: substituir CRM ou vendedores, decidir automaticamente estratégias comerciais, treinar modelos próprios, exigir banco vetorial ou operar uma orquestração multiagente complexa.</w:t>
      </w:r>
    </w:p>
    <w:p>
      <w:pPr>
        <w:pStyle w:val="Heading2"/>
      </w:pPr>
      <w:r>
        <w:t>1.2 Principais Funcionalidades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232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Funcionalidade</w:t>
            </w:r>
          </w:p>
        </w:tc>
        <w:tc>
          <w:tcPr>
            <w:tcW w:type="dxa" w:w="6984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223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Análise de reuniões</w:t>
            </w:r>
          </w:p>
        </w:tc>
        <w:tc>
          <w:tcPr>
            <w:tcW w:type="dxa" w:w="6984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O upload de uma transcrição cria os registros relacionados e inicia o processamento. O resultado associa à reunião o resumo, sentimento, insights e sinais com evidências.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Memória contextual do cliente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Consolida resumos de reuniões e informações comerciais para consultas longitudinais e recuperação de contexto.</w:t>
            </w:r>
          </w:p>
        </w:tc>
      </w:tr>
      <w:tr>
        <w:tc>
          <w:tcPr>
            <w:tcW w:type="dxa" w:w="223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Copiloto consultivo</w:t>
            </w:r>
          </w:p>
        </w:tc>
        <w:tc>
          <w:tcPr>
            <w:tcW w:type="dxa" w:w="6984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Mantém chats e mensagens, identifica a intenção da pergunta, recupera contexto comercial e responde com referências às fontes disponíveis.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Alertas comerciais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Apresenta sinais priorizados e permite registrar a leitura individual do alerta.</w:t>
            </w:r>
          </w:p>
        </w:tc>
      </w:tr>
      <w:tr>
        <w:tc>
          <w:tcPr>
            <w:tcW w:type="dxa" w:w="223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Gestão e acesso</w:t>
            </w:r>
          </w:p>
        </w:tc>
        <w:tc>
          <w:tcPr>
            <w:tcW w:type="dxa" w:w="6984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Gerencia clientes e usuários, autentica por credenciais e protege rotas com token JWT e perfil de acesso.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Fila de processamento</w:t>
            </w:r>
          </w:p>
        </w:tc>
        <w:tc>
          <w:tcPr>
            <w:tcW w:type="dxa" w:w="69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7"/>
              </w:rPr>
              <w:t>Exibe análises pendentes, em andamento, concluídas ou com erro para acompanhamento.</w:t>
            </w:r>
          </w:p>
        </w:tc>
      </w:tr>
    </w:tbl>
    <w:p>
      <w:pPr>
        <w:spacing w:after="20"/>
      </w:pPr>
    </w:p>
    <w:p>
      <w:pPr>
        <w:pStyle w:val="Heading2"/>
      </w:pPr>
      <w:r>
        <w:t>Bounded Contexts implementados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1584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Contexto</w:t>
            </w:r>
          </w:p>
        </w:tc>
        <w:tc>
          <w:tcPr>
            <w:tcW w:type="dxa" w:w="7632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 e entidades principais</w:t>
            </w:r>
          </w:p>
        </w:tc>
      </w:tr>
      <w:tr>
        <w:tc>
          <w:tcPr>
            <w:tcW w:type="dxa" w:w="1584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meeting</w:t>
            </w:r>
          </w:p>
        </w:tc>
        <w:tc>
          <w:tcPr>
            <w:tcW w:type="dxa" w:w="763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Clientes, reuniões e transcrições.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analysis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Processamento, análises, insights e sinais comerciais.</w:t>
            </w:r>
          </w:p>
        </w:tc>
      </w:tr>
      <w:tr>
        <w:tc>
          <w:tcPr>
            <w:tcW w:type="dxa" w:w="1584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alert</w:t>
            </w:r>
          </w:p>
        </w:tc>
        <w:tc>
          <w:tcPr>
            <w:tcW w:type="dxa" w:w="763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Alertas comerciais e estado individual de leitura.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copilot</w:t>
            </w:r>
          </w:p>
        </w:tc>
        <w:tc>
          <w:tcPr>
            <w:tcW w:type="dxa" w:w="76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Chats, perguntas/respostas, intenção e fontes contextuais.</w:t>
            </w:r>
          </w:p>
        </w:tc>
      </w:tr>
      <w:tr>
        <w:tc>
          <w:tcPr>
            <w:tcW w:type="dxa" w:w="1584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user</w:t>
            </w:r>
          </w:p>
        </w:tc>
        <w:tc>
          <w:tcPr>
            <w:tcW w:type="dxa" w:w="763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8"/>
              </w:rPr>
              <w:t>Usuários, perfis e autenticação.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Endpoints REST</w:t>
      </w:r>
    </w:p>
    <w:p>
      <w:r>
        <w:t>A tabela registra as rotas declaradas nos controllers do backend. Os erros 400, 401, 404, 409, 503 e 500 decorrem dos mapeamentos existentes em GlobalExceptionHandler; são listados somente nos recursos onde o código ou o tratamento correspondente os torna aplicáveis. Todas as rotas, exceto autenticação e preflight CORS, exigem token válido; a gestão de usuários exige perfil DIRETOR_COMERCIAL. A política de segurança pode rejeitar a chamada com 401/403 antes do controller.</w:t>
      </w:r>
    </w:p>
    <w:p>
      <w:pPr>
        <w:pStyle w:val="Heading2"/>
      </w:pPr>
      <w:r>
        <w:t>2.1 Clientes e reuniões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749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3096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333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  <w:tc>
          <w:tcPr>
            <w:tcW w:type="dxa" w:w="2952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 HTTP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/api/v1/clientes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Lista clientes com filtros e paginação.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400 (parâmetros inválidos); 401/403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/api/v1/clientes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Cadastra cliente.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201; 400 (validação); 401/403; 500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/api/v1/clientes/{id}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Consulta cliente.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400 (id inválido); 401/403; 404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PUT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/api/v1/clientes/{id}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Atualiza dados do cliente.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400 (id/validação); 401/403; 404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/api/v1/clientes/{id}/status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Altera o status do cliente.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400 (id/validação); 401/403; 404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/api/v1/clientes/{id}/reunioes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Lista reuniões do cliente.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404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/api/v1/reunioes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Lista reuniões.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500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/api/v1/reunioes/{id}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Consulta reunião.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404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/api/v1/reunioes/{id}/transcricao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Consulta transcrição da reunião.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404</w:t>
            </w:r>
          </w:p>
        </w:tc>
      </w:tr>
    </w:tbl>
    <w:p>
      <w:pPr>
        <w:spacing w:after="20"/>
      </w:pPr>
    </w:p>
    <w:p>
      <w:pPr>
        <w:pStyle w:val="Heading2"/>
      </w:pPr>
      <w:r>
        <w:t>2.2 Transcrições e análises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749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3096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333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  <w:tc>
          <w:tcPr>
            <w:tcW w:type="dxa" w:w="2952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 HTTP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/api/v1/transcricoes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Lista transcrições.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500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/api/v1/transcricoes/{id}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Consulta transcrição.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404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/api/v1/transcricoes/upload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Envia arquivo multipart e solicita análise assíncrona.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202; 400 (TXT/UTF-8/tamanho/conteúdo); 401/403; 404/409; 500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/api/v1/analises/{id}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Consulta análise e, se concluída, seus insights e sinais.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404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/api/v1/analises/reuniao/{reuniaoId}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Consulta análise por reunião.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404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/api/v1/analises/fila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Consulta fila e análises finalizadas.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500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2.3 Alertas e copiloto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749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3096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333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  <w:tc>
          <w:tcPr>
            <w:tcW w:type="dxa" w:w="2952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 HTTP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/api/v1/alertas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Lista alertas paginados.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500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/api/v1/alertas/{id}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Consulta alerta.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404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/api/v1/alertas/{id}/lido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Marca leitura do alerta associado ao usuário.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404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/api/v1/copilot/chats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Cria chat vinculado ao usuário autenticado e, opcionalmente, a cliente.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201; 400 (validação); 401/403; 404; 500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/api/v1/copilot/chats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Lista chats do usuário autenticado.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400 (paginação inválida); 401/403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/api/v1/copilot/chats/{chatId}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Consulta chat e página do histórico.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400 (id/paginação); 401/403; 404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/api/v1/copilot/chats/{chatId}/messages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Envia pergunta contextual ao copiloto.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201; 400 (validação/chat sem cliente); 401/403; 404; 503</w:t>
            </w:r>
          </w:p>
        </w:tc>
      </w:tr>
    </w:tbl>
    <w:p>
      <w:pPr>
        <w:spacing w:after="20"/>
      </w:pPr>
    </w:p>
    <w:p>
      <w:pPr>
        <w:pStyle w:val="Heading2"/>
      </w:pPr>
      <w:r>
        <w:t>2.4 Usuários, autenticação e feedback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749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Método</w:t>
            </w:r>
          </w:p>
        </w:tc>
        <w:tc>
          <w:tcPr>
            <w:tcW w:type="dxa" w:w="3096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2333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Descrição</w:t>
            </w:r>
          </w:p>
        </w:tc>
        <w:tc>
          <w:tcPr>
            <w:tcW w:type="dxa" w:w="2952"/>
            <w:vAlign w:val="center"/>
            <w:shd w:fill="153B63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 HTTP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/api/v1/auth/login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Autentica usuário e retorna token Bearer.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 (credenciais inválidas); 400; 500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/api/v1/usuarios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Cadastra usuário.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201; 400 (validação); 401/403; 409 (e-mail em uso)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/api/v1/usuarios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Lista usuários paginados.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/api/v1/usuarios/{id}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Consulta usuário.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401/403; 404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PUT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/api/v1/usuarios/{id}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Atualiza dados e, se enviada, senha do usuário.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400 (validação); 401/403; 404/409</w:t>
            </w:r>
          </w:p>
        </w:tc>
      </w:tr>
      <w:tr>
        <w:tc>
          <w:tcPr>
            <w:tcW w:type="dxa" w:w="74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PATCH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/api/v1/usuarios/{id}/status</w:t>
            </w:r>
          </w:p>
        </w:tc>
        <w:tc>
          <w:tcPr>
            <w:tcW w:type="dxa" w:w="2333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Ativa ou desativa usuário.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400 (validação); 401/403; 404</w:t>
            </w:r>
          </w:p>
        </w:tc>
      </w:tr>
      <w:tr>
        <w:tc>
          <w:tcPr>
            <w:tcW w:type="dxa" w:w="749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POST</w:t>
            </w:r>
          </w:p>
        </w:tc>
        <w:tc>
          <w:tcPr>
            <w:tcW w:type="dxa" w:w="3096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/api/v1/feedbacks</w:t>
            </w:r>
          </w:p>
        </w:tc>
        <w:tc>
          <w:tcPr>
            <w:tcW w:type="dxa" w:w="2333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Registra feedback do usuário autenticado.</w:t>
            </w:r>
          </w:p>
        </w:tc>
        <w:tc>
          <w:tcPr>
            <w:tcW w:type="dxa" w:w="2952"/>
            <w:vAlign w:val="center"/>
            <w:shd w:fill="F0F5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200; 400 (validação); 401/403; 500</w:t>
            </w:r>
          </w:p>
        </w:tc>
      </w:tr>
    </w:tbl>
    <w:p>
      <w:pPr>
        <w:spacing w:after="20"/>
      </w:pPr>
    </w:p>
    <w:p>
      <w:r>
        <w:t>Nota: respostas padrão 400/401/403/404/409/500 podem ser produzidas por validação, Spring Security, exceções de domínio ou falhas não previstas, conforme indicadas no código. O upload devolve 202 Accepted, mas o resultado da análise é consultado nas rotas de análise. Para recursos sem cenário de erro específico demonstrável no caminho do controller/service, a tabela não presume códigos adicionais.</w:t>
      </w:r>
    </w:p>
    <w:p>
      <w:r>
        <w:br w:type="page"/>
      </w:r>
    </w:p>
    <w:p>
      <w:pPr>
        <w:pStyle w:val="Heading1"/>
      </w:pPr>
      <w:r>
        <w:t>3. Protótipo — telas</w:t>
      </w:r>
    </w:p>
    <w:p>
      <w:r>
        <w:t>As telas abaixo reproduzem os prints incorporados na documentação da Sprint 3, sem substituição ou alteração do conteúdo visual. As legendas e descrições foram mantidas na mesma sequência.</w:t>
      </w:r>
    </w:p>
    <w:p>
      <w:pPr>
        <w:pStyle w:val="Heading2"/>
      </w:pPr>
      <w:r>
        <w:t>4.1 Dashboard</w:t>
      </w:r>
    </w:p>
    <w:p>
      <w:r>
        <w:t>Interação: Visualizar indicadores comerciais, acompanhar riscos e oportunidades e acessar clientes que precisam de atenção.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9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_page_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9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4.2 Upload</w:t>
      </w:r>
    </w:p>
    <w:p>
      <w:r>
        <w:t>Interação: Enviar a transcrição de uma reunião, selecionar o cliente e a data, e encaminhar o conteúdo para análise pela IA.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53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_page_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5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4.3 Reunião/Análise</w:t>
      </w:r>
    </w:p>
    <w:p>
      <w:r>
        <w:t>Interação: Consultar o resumo executivo da reunião, os sinais comerciais identificados pela IA e seus trechos de evidência, além do histórico de processamento da análise.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69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_page_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6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4.4 Clientes</w:t>
      </w:r>
    </w:p>
    <w:p>
      <w:r>
        <w:t>Interação: Buscar e consultar clientes cadastrados, acessar seus detalhes, editar informações ou cadastrar um novo cliente.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90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_page_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90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4.5 Alertas</w:t>
      </w:r>
    </w:p>
    <w:p>
      <w:r>
        <w:t>Interação: Consultar alertas comerciais, filtrar por prioridade e status e acompanhar riscos, oportunidades e demais sinais críticos identificados pela IA.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84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_page_1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4.6 Copiloto</w:t>
      </w:r>
    </w:p>
    <w:p>
      <w:r>
        <w:t>Interação: Fazer perguntas ao copiloto utilizando o contexto de clientes e reuniões, consultar conversas anteriores e receber apoio contextualizado para análises e decisões comerciais.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969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_page_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96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4.7 Busca</w:t>
      </w:r>
    </w:p>
    <w:p>
      <w:r>
        <w:t>Interação: Buscar clientes e reuniões de forma centralizada e acessar diretamente os resultados encontrados.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87505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_page_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75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4.8 Fila de Processamento</w:t>
      </w:r>
    </w:p>
    <w:p>
      <w:r>
        <w:t>Interação: Acompanhar o status e o progresso das reuniões em análise, identificando processamentos pendentes e em andamento.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15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3_page_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Modelo do Banco de Dados</w:t>
      </w:r>
    </w:p>
    <w:p>
      <w:r>
        <w:t>O modelo relacional usa Oracle e registra clientes, usuários, reuniões, transcrições, análises, insights, sinais, alertas e conversas. As migrations Flyway V1–V3 definem o schema. A figura mantém a estrutura relacional apresentada na Sprint 3 e explicita as colunas adicionadas à PERGUNTA_CHAT na V3 (INTENCAO e FONTES_JSON).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9309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relacional_atualiz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 relações preservam a rastreabilidade: Cliente e Usuário se associam a reuniões; cada reunião admite uma transcrição e uma análise; análises reúnem insights e sinais; sinais podem originar alertas associados a usuários para leitura. O Chat pertence a um usuário, pode referenciar um cliente e reúne mensagens com intenção e fontes.</w:t>
      </w:r>
    </w:p>
    <w:p>
      <w:r>
        <w:br w:type="page"/>
      </w:r>
    </w:p>
    <w:p>
      <w:pPr>
        <w:pStyle w:val="Heading1"/>
      </w:pPr>
      <w:r>
        <w:t>5. Diagrama de Classes</w:t>
      </w:r>
    </w:p>
    <w:p>
      <w:r>
        <w:t>O diagrama de domínio abaixo foi atualizado a partir das entidades Java atuais e dos relacionamentos do domínio. Ele não representa classes de persistência. Inclui o resumo contextual de Cliente, a associação opcional de Chat com Cliente e os dados de intenção e fontes em PerguntaChat.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9364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_domin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36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Relacionamentos principais: Cliente 1:N Reunião; Usuário 1:N Reunião, Chat e AlertaUsuario; Reunião 1:0..1 Transcrição e Análise; Análise 1:N Insight e SinalComercial; SinalComercial 1:0..1 Alerta; Alerta 1:N AlertaUsuario; Chat 1:N PerguntaChat. Chat pode referenciar zero ou um Cliente.</w:t>
      </w:r>
    </w:p>
    <w:sectPr w:rsidR="00FC693F" w:rsidRPr="0006063C" w:rsidSect="00034616">
      <w:footerReference w:type="default" r:id="rId9"/>
      <w:pgSz w:w="11909" w:h="16834"/>
      <w:pgMar w:top="1037" w:right="1037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6B"/>
        <w:sz w:val="16"/>
      </w:rPr>
      <w:t xml:space="preserve">MentoAI • DDD Sprint 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B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B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53B6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MentoAI — Documentação DDD Sprint 4</dc:title>
  <dc:subject>Challenge TOTVS 2026 • FIAP • 2ESPX • Equipe 1</dc:subject>
  <dc:creator>Equipe 1 — MentoAI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