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749"/>
      </w:tblGrid>
      <w:tr w:rsidR="008561E4" w14:paraId="5A5924A7" w14:textId="77777777">
        <w:trPr>
          <w:jc w:val="center"/>
        </w:trPr>
        <w:tc>
          <w:tcPr>
            <w:tcW w:w="9749" w:type="dxa"/>
            <w:shd w:val="clear" w:color="auto" w:fill="0F234B"/>
            <w:tcMar>
              <w:top w:w="200" w:type="dxa"/>
              <w:left w:w="240" w:type="dxa"/>
              <w:bottom w:w="200" w:type="dxa"/>
              <w:right w:w="240" w:type="dxa"/>
            </w:tcMar>
          </w:tcPr>
          <w:p w14:paraId="1C92B164" w14:textId="77777777" w:rsidR="008561E4" w:rsidRDefault="00D83D5F" w:rsidP="00634A40">
            <w:pPr>
              <w:spacing w:after="40" w:line="360" w:lineRule="auto"/>
            </w:pPr>
            <w:r>
              <w:rPr>
                <w:rFonts w:ascii="Arial" w:hAnsi="Arial"/>
                <w:b/>
                <w:color w:val="FFFFFF"/>
                <w:sz w:val="36"/>
              </w:rPr>
              <w:t>DUBLIN SOUTH MOBILITY PROJECT</w:t>
            </w:r>
          </w:p>
          <w:p w14:paraId="42ABF815" w14:textId="77777777" w:rsidR="008561E4" w:rsidRDefault="00D83D5F" w:rsidP="00634A40">
            <w:pPr>
              <w:spacing w:after="0" w:line="360" w:lineRule="auto"/>
            </w:pPr>
            <w:r>
              <w:rPr>
                <w:rFonts w:ascii="Arial" w:hAnsi="Arial"/>
                <w:b/>
                <w:color w:val="93C5FD"/>
              </w:rPr>
              <w:t>Executive Summary: Hyperlocal Micro-Mobility Planner (Dundrum–Sandyford Corridor)</w:t>
            </w:r>
          </w:p>
        </w:tc>
      </w:tr>
    </w:tbl>
    <w:p w14:paraId="28E01182" w14:textId="77777777" w:rsidR="008561E4" w:rsidRDefault="00D83D5F" w:rsidP="00634A40">
      <w:pPr>
        <w:keepNext/>
        <w:spacing w:before="280" w:after="80" w:line="360" w:lineRule="auto"/>
      </w:pPr>
      <w:r>
        <w:rPr>
          <w:rFonts w:ascii="Arial" w:hAnsi="Arial"/>
          <w:b/>
          <w:color w:val="0F234B"/>
          <w:sz w:val="28"/>
        </w:rPr>
        <w:t>1. Project Overview &amp; Context</w:t>
      </w:r>
    </w:p>
    <w:p w14:paraId="370C5EDA" w14:textId="7D438591" w:rsidR="008561E4" w:rsidRPr="001602A6" w:rsidRDefault="00D83D5F" w:rsidP="00634A40">
      <w:pPr>
        <w:spacing w:after="80" w:line="360" w:lineRule="auto"/>
        <w:jc w:val="both"/>
        <w:rPr>
          <w:sz w:val="24"/>
          <w:szCs w:val="24"/>
        </w:rPr>
      </w:pPr>
      <w:r w:rsidRPr="001602A6">
        <w:rPr>
          <w:rFonts w:ascii="Arial" w:hAnsi="Arial"/>
          <w:b/>
          <w:color w:val="0F234B"/>
          <w:sz w:val="24"/>
          <w:szCs w:val="24"/>
        </w:rPr>
        <w:t xml:space="preserve">Overview: </w:t>
      </w:r>
      <w:r w:rsidRPr="001602A6">
        <w:rPr>
          <w:rFonts w:ascii="Arial" w:hAnsi="Arial"/>
          <w:color w:val="1E293B"/>
          <w:sz w:val="24"/>
          <w:szCs w:val="24"/>
        </w:rPr>
        <w:t>This project develops a Hyperlocal Micro-Mobility Planner and spatial intelligence framework designed to evaluate and enhance active travel connectivity across South Dublin</w:t>
      </w:r>
      <w:r w:rsidR="001602A6">
        <w:rPr>
          <w:rFonts w:ascii="Arial" w:hAnsi="Arial"/>
          <w:color w:val="1E293B"/>
          <w:sz w:val="24"/>
          <w:szCs w:val="24"/>
        </w:rPr>
        <w:t>, Ireland</w:t>
      </w:r>
      <w:r w:rsidRPr="001602A6">
        <w:rPr>
          <w:rFonts w:ascii="Arial" w:hAnsi="Arial"/>
          <w:color w:val="1E293B"/>
          <w:sz w:val="24"/>
          <w:szCs w:val="24"/>
        </w:rPr>
        <w:t xml:space="preserve">. Focusing on the critical Dundrum–Sandyford transit corridor, the project </w:t>
      </w:r>
      <w:r w:rsidR="001602A6" w:rsidRPr="001602A6">
        <w:rPr>
          <w:rFonts w:ascii="Arial" w:hAnsi="Arial"/>
          <w:color w:val="1E293B"/>
          <w:sz w:val="24"/>
          <w:szCs w:val="24"/>
        </w:rPr>
        <w:t>analyses</w:t>
      </w:r>
      <w:r w:rsidRPr="001602A6">
        <w:rPr>
          <w:rFonts w:ascii="Arial" w:hAnsi="Arial"/>
          <w:color w:val="1E293B"/>
          <w:sz w:val="24"/>
          <w:szCs w:val="24"/>
        </w:rPr>
        <w:t xml:space="preserve"> how suburban residential </w:t>
      </w:r>
      <w:proofErr w:type="gramStart"/>
      <w:r w:rsidR="001602A6" w:rsidRPr="001602A6">
        <w:rPr>
          <w:rFonts w:ascii="Arial" w:hAnsi="Arial"/>
          <w:color w:val="1E293B"/>
          <w:sz w:val="24"/>
          <w:szCs w:val="24"/>
        </w:rPr>
        <w:t>communities</w:t>
      </w:r>
      <w:proofErr w:type="gramEnd"/>
      <w:r w:rsidRPr="001602A6">
        <w:rPr>
          <w:rFonts w:ascii="Arial" w:hAnsi="Arial"/>
          <w:color w:val="1E293B"/>
          <w:sz w:val="24"/>
          <w:szCs w:val="24"/>
        </w:rPr>
        <w:t xml:space="preserve"> interface with high-frequency light rail (Luas Green Line) transit anchors.</w:t>
      </w:r>
    </w:p>
    <w:p w14:paraId="709F94A1" w14:textId="68B98CBA" w:rsidR="008561E4" w:rsidRPr="001602A6" w:rsidRDefault="00D83D5F" w:rsidP="00634A40">
      <w:pPr>
        <w:spacing w:after="80" w:line="360" w:lineRule="auto"/>
        <w:jc w:val="both"/>
        <w:rPr>
          <w:sz w:val="24"/>
          <w:szCs w:val="24"/>
        </w:rPr>
      </w:pPr>
      <w:r w:rsidRPr="001602A6">
        <w:rPr>
          <w:rFonts w:ascii="Arial" w:hAnsi="Arial"/>
          <w:b/>
          <w:color w:val="0F234B"/>
          <w:sz w:val="24"/>
          <w:szCs w:val="24"/>
        </w:rPr>
        <w:t xml:space="preserve">Context: </w:t>
      </w:r>
      <w:r w:rsidRPr="001602A6">
        <w:rPr>
          <w:rFonts w:ascii="Arial" w:hAnsi="Arial"/>
          <w:color w:val="1E293B"/>
          <w:sz w:val="24"/>
          <w:szCs w:val="24"/>
        </w:rPr>
        <w:t>The Dundrum–Sandyford corridor represents a vital economic and commercial hub in Ireland, anchored by the Sandyford Business District (a premier national employment center) and Dundrum Town Centre. Despite rapid residential densificati</w:t>
      </w:r>
      <w:r w:rsidR="00F5513F" w:rsidRPr="001602A6">
        <w:rPr>
          <w:rFonts w:ascii="Arial" w:hAnsi="Arial"/>
          <w:color w:val="1E293B"/>
          <w:sz w:val="24"/>
          <w:szCs w:val="24"/>
        </w:rPr>
        <w:t xml:space="preserve">on across Stepaside, Ballinteer and Sandyford, </w:t>
      </w:r>
      <w:r w:rsidRPr="001602A6">
        <w:rPr>
          <w:rFonts w:ascii="Arial" w:hAnsi="Arial"/>
          <w:color w:val="1E293B"/>
          <w:sz w:val="24"/>
          <w:szCs w:val="24"/>
        </w:rPr>
        <w:t>with over 53,000 residents living within a 10-minute cycle of the Luas</w:t>
      </w:r>
      <w:r w:rsidR="001602A6">
        <w:rPr>
          <w:rFonts w:ascii="Arial" w:hAnsi="Arial"/>
          <w:color w:val="1E293B"/>
          <w:sz w:val="24"/>
          <w:szCs w:val="24"/>
        </w:rPr>
        <w:t xml:space="preserve">, </w:t>
      </w:r>
      <w:r w:rsidRPr="001602A6">
        <w:rPr>
          <w:rFonts w:ascii="Arial" w:hAnsi="Arial"/>
          <w:color w:val="1E293B"/>
          <w:sz w:val="24"/>
          <w:szCs w:val="24"/>
        </w:rPr>
        <w:t>active mobility adoption remains severely suppressed.</w:t>
      </w:r>
    </w:p>
    <w:p w14:paraId="3515D09C" w14:textId="77777777" w:rsidR="008561E4" w:rsidRDefault="00D83D5F" w:rsidP="00634A40">
      <w:pPr>
        <w:keepNext/>
        <w:spacing w:before="280" w:after="80" w:line="360" w:lineRule="auto"/>
      </w:pPr>
      <w:r>
        <w:rPr>
          <w:rFonts w:ascii="Arial" w:hAnsi="Arial"/>
          <w:b/>
          <w:color w:val="0F234B"/>
          <w:sz w:val="28"/>
        </w:rPr>
        <w:t>2. Problem Statement &amp; The Solution</w:t>
      </w:r>
    </w:p>
    <w:tbl>
      <w:tblPr>
        <w:tblW w:w="0" w:type="auto"/>
        <w:jc w:val="center"/>
        <w:tblLayout w:type="fixed"/>
        <w:tblLook w:val="04A0" w:firstRow="1" w:lastRow="0" w:firstColumn="1" w:lastColumn="0" w:noHBand="0" w:noVBand="1"/>
      </w:tblPr>
      <w:tblGrid>
        <w:gridCol w:w="4752"/>
        <w:gridCol w:w="4752"/>
      </w:tblGrid>
      <w:tr w:rsidR="008561E4" w14:paraId="33737550" w14:textId="77777777">
        <w:trPr>
          <w:jc w:val="center"/>
        </w:trPr>
        <w:tc>
          <w:tcPr>
            <w:tcW w:w="4752" w:type="dxa"/>
            <w:shd w:val="clear" w:color="auto" w:fill="FEF2F2"/>
            <w:tcMar>
              <w:top w:w="140" w:type="dxa"/>
              <w:left w:w="180" w:type="dxa"/>
              <w:bottom w:w="140" w:type="dxa"/>
              <w:right w:w="180" w:type="dxa"/>
            </w:tcMar>
          </w:tcPr>
          <w:p w14:paraId="20F0CEB6" w14:textId="77777777" w:rsidR="008561E4" w:rsidRPr="001602A6" w:rsidRDefault="00D83D5F" w:rsidP="00634A40">
            <w:pPr>
              <w:spacing w:after="60" w:line="360" w:lineRule="auto"/>
              <w:jc w:val="both"/>
              <w:rPr>
                <w:sz w:val="24"/>
                <w:szCs w:val="24"/>
              </w:rPr>
            </w:pPr>
            <w:r w:rsidRPr="001602A6">
              <w:rPr>
                <w:rFonts w:ascii="Arial" w:hAnsi="Arial"/>
                <w:b/>
                <w:color w:val="B91C1C"/>
                <w:sz w:val="24"/>
                <w:szCs w:val="24"/>
              </w:rPr>
              <w:t>The Problem</w:t>
            </w:r>
          </w:p>
          <w:p w14:paraId="5136CE05" w14:textId="77777777" w:rsidR="008561E4" w:rsidRPr="001602A6" w:rsidRDefault="00D83D5F" w:rsidP="00634A40">
            <w:pPr>
              <w:spacing w:after="0" w:line="360" w:lineRule="auto"/>
              <w:jc w:val="both"/>
              <w:rPr>
                <w:sz w:val="24"/>
                <w:szCs w:val="24"/>
              </w:rPr>
            </w:pPr>
            <w:r w:rsidRPr="001602A6">
              <w:rPr>
                <w:rFonts w:ascii="Arial" w:hAnsi="Arial"/>
                <w:color w:val="1E293B"/>
                <w:sz w:val="24"/>
                <w:szCs w:val="24"/>
              </w:rPr>
              <w:t>Commuters lack safe, connected data pathw</w:t>
            </w:r>
            <w:r w:rsidR="00F5513F" w:rsidRPr="001602A6">
              <w:rPr>
                <w:rFonts w:ascii="Arial" w:hAnsi="Arial"/>
                <w:color w:val="1E293B"/>
                <w:sz w:val="24"/>
                <w:szCs w:val="24"/>
              </w:rPr>
              <w:t>ays to combine walking, cycling</w:t>
            </w:r>
            <w:r w:rsidRPr="001602A6">
              <w:rPr>
                <w:rFonts w:ascii="Arial" w:hAnsi="Arial"/>
                <w:color w:val="1E293B"/>
                <w:sz w:val="24"/>
                <w:szCs w:val="24"/>
              </w:rPr>
              <w:t xml:space="preserve"> and public transit. H</w:t>
            </w:r>
            <w:r w:rsidR="00F5513F" w:rsidRPr="001602A6">
              <w:rPr>
                <w:rFonts w:ascii="Arial" w:hAnsi="Arial"/>
                <w:color w:val="1E293B"/>
                <w:sz w:val="24"/>
                <w:szCs w:val="24"/>
              </w:rPr>
              <w:t xml:space="preserve">eavy car-centric infrastructure </w:t>
            </w:r>
            <w:r w:rsidRPr="001602A6">
              <w:rPr>
                <w:rFonts w:ascii="Arial" w:hAnsi="Arial"/>
                <w:color w:val="1E293B"/>
                <w:sz w:val="24"/>
                <w:szCs w:val="24"/>
              </w:rPr>
              <w:t>most notably the M50 Motorway and arterial multi-lane roads</w:t>
            </w:r>
            <w:r w:rsidR="00F5513F" w:rsidRPr="001602A6">
              <w:rPr>
                <w:rFonts w:ascii="Arial" w:hAnsi="Arial"/>
                <w:color w:val="1E293B"/>
                <w:sz w:val="24"/>
                <w:szCs w:val="24"/>
              </w:rPr>
              <w:t xml:space="preserve"> like the R113 (Sandyford Road) </w:t>
            </w:r>
            <w:r w:rsidRPr="001602A6">
              <w:rPr>
                <w:rFonts w:ascii="Arial" w:hAnsi="Arial"/>
                <w:color w:val="1E293B"/>
                <w:sz w:val="24"/>
                <w:szCs w:val="24"/>
              </w:rPr>
              <w:t xml:space="preserve">physically cuts off </w:t>
            </w:r>
            <w:proofErr w:type="spellStart"/>
            <w:r w:rsidR="00F5513F" w:rsidRPr="001602A6">
              <w:rPr>
                <w:rFonts w:ascii="Arial" w:hAnsi="Arial"/>
                <w:color w:val="1E293B"/>
                <w:sz w:val="24"/>
                <w:szCs w:val="24"/>
              </w:rPr>
              <w:t>neighbourhoods</w:t>
            </w:r>
            <w:proofErr w:type="spellEnd"/>
            <w:r w:rsidRPr="001602A6">
              <w:rPr>
                <w:rFonts w:ascii="Arial" w:hAnsi="Arial"/>
                <w:color w:val="1E293B"/>
                <w:sz w:val="24"/>
                <w:szCs w:val="24"/>
              </w:rPr>
              <w:t>, creating severe high-friction choke points and forcing commuters into private cars.</w:t>
            </w:r>
          </w:p>
        </w:tc>
        <w:tc>
          <w:tcPr>
            <w:tcW w:w="4752" w:type="dxa"/>
            <w:shd w:val="clear" w:color="auto" w:fill="EFF6FF"/>
            <w:tcMar>
              <w:top w:w="140" w:type="dxa"/>
              <w:left w:w="180" w:type="dxa"/>
              <w:bottom w:w="140" w:type="dxa"/>
              <w:right w:w="180" w:type="dxa"/>
            </w:tcMar>
          </w:tcPr>
          <w:p w14:paraId="3E8A6E9B" w14:textId="77777777" w:rsidR="008561E4" w:rsidRPr="001602A6" w:rsidRDefault="00D83D5F" w:rsidP="00634A40">
            <w:pPr>
              <w:spacing w:after="60" w:line="360" w:lineRule="auto"/>
              <w:jc w:val="both"/>
              <w:rPr>
                <w:sz w:val="24"/>
                <w:szCs w:val="24"/>
              </w:rPr>
            </w:pPr>
            <w:r w:rsidRPr="001602A6">
              <w:rPr>
                <w:rFonts w:ascii="Arial" w:hAnsi="Arial"/>
                <w:b/>
                <w:color w:val="2563EB"/>
                <w:sz w:val="24"/>
                <w:szCs w:val="24"/>
              </w:rPr>
              <w:t>The Solution</w:t>
            </w:r>
          </w:p>
          <w:p w14:paraId="5FC21383" w14:textId="77777777" w:rsidR="008561E4" w:rsidRPr="001602A6" w:rsidRDefault="00D83D5F" w:rsidP="00634A40">
            <w:pPr>
              <w:spacing w:after="0" w:line="360" w:lineRule="auto"/>
              <w:jc w:val="both"/>
              <w:rPr>
                <w:sz w:val="24"/>
                <w:szCs w:val="24"/>
              </w:rPr>
            </w:pPr>
            <w:r w:rsidRPr="001602A6">
              <w:rPr>
                <w:rFonts w:ascii="Arial" w:hAnsi="Arial"/>
                <w:color w:val="1E293B"/>
                <w:sz w:val="24"/>
                <w:szCs w:val="24"/>
              </w:rPr>
              <w:t>A Python-driven spatial analytics pipeline (</w:t>
            </w:r>
            <w:proofErr w:type="spellStart"/>
            <w:r w:rsidRPr="001602A6">
              <w:rPr>
                <w:rFonts w:ascii="Arial" w:hAnsi="Arial"/>
                <w:color w:val="1E293B"/>
                <w:sz w:val="24"/>
                <w:szCs w:val="24"/>
              </w:rPr>
              <w:t>OSMnx</w:t>
            </w:r>
            <w:proofErr w:type="spellEnd"/>
            <w:r w:rsidRPr="001602A6">
              <w:rPr>
                <w:rFonts w:ascii="Arial" w:hAnsi="Arial"/>
                <w:color w:val="1E293B"/>
                <w:sz w:val="24"/>
                <w:szCs w:val="24"/>
              </w:rPr>
              <w:t xml:space="preserve">, </w:t>
            </w:r>
            <w:proofErr w:type="spellStart"/>
            <w:r w:rsidRPr="001602A6">
              <w:rPr>
                <w:rFonts w:ascii="Arial" w:hAnsi="Arial"/>
                <w:color w:val="1E293B"/>
                <w:sz w:val="24"/>
                <w:szCs w:val="24"/>
              </w:rPr>
              <w:t>GeoPandas</w:t>
            </w:r>
            <w:proofErr w:type="spellEnd"/>
            <w:r w:rsidRPr="001602A6">
              <w:rPr>
                <w:rFonts w:ascii="Arial" w:hAnsi="Arial"/>
                <w:color w:val="1E293B"/>
                <w:sz w:val="24"/>
                <w:szCs w:val="24"/>
              </w:rPr>
              <w:t>, Shapely) combined with an interactive Tableau BI dashboard. The framework models true network isochrones (400m–3km), applies an algorithmic 0–100 Street Corridor Safety Score across 88,168 network segments, and overlays CSO Census Demographics to isolate friction bottlenecks.</w:t>
            </w:r>
          </w:p>
        </w:tc>
      </w:tr>
    </w:tbl>
    <w:p w14:paraId="6F68470A" w14:textId="77777777" w:rsidR="008561E4" w:rsidRDefault="00D83D5F" w:rsidP="00634A40">
      <w:pPr>
        <w:keepNext/>
        <w:spacing w:before="280" w:after="80" w:line="360" w:lineRule="auto"/>
      </w:pPr>
      <w:r>
        <w:rPr>
          <w:rFonts w:ascii="Arial" w:hAnsi="Arial"/>
          <w:b/>
          <w:color w:val="0F234B"/>
          <w:sz w:val="28"/>
        </w:rPr>
        <w:t>3. Key Performance &amp; Impact Metrics</w:t>
      </w:r>
    </w:p>
    <w:tbl>
      <w:tblPr>
        <w:tblW w:w="0" w:type="auto"/>
        <w:jc w:val="center"/>
        <w:tblLayout w:type="fixed"/>
        <w:tblLook w:val="04A0" w:firstRow="1" w:lastRow="0" w:firstColumn="1" w:lastColumn="0" w:noHBand="0" w:noVBand="1"/>
      </w:tblPr>
      <w:tblGrid>
        <w:gridCol w:w="1944"/>
        <w:gridCol w:w="1944"/>
        <w:gridCol w:w="1944"/>
        <w:gridCol w:w="1944"/>
        <w:gridCol w:w="1944"/>
      </w:tblGrid>
      <w:tr w:rsidR="008561E4" w14:paraId="6CD6426B" w14:textId="77777777">
        <w:trPr>
          <w:jc w:val="center"/>
        </w:trPr>
        <w:tc>
          <w:tcPr>
            <w:tcW w:w="1944" w:type="dxa"/>
            <w:shd w:val="clear" w:color="auto" w:fill="F8FAFC"/>
            <w:tcMar>
              <w:top w:w="80" w:type="dxa"/>
              <w:left w:w="60" w:type="dxa"/>
              <w:bottom w:w="40" w:type="dxa"/>
              <w:right w:w="60" w:type="dxa"/>
            </w:tcMar>
          </w:tcPr>
          <w:p w14:paraId="0E7A47B1" w14:textId="77777777" w:rsidR="008561E4" w:rsidRPr="00634A40" w:rsidRDefault="00D83D5F" w:rsidP="00634A40">
            <w:pPr>
              <w:spacing w:after="0" w:line="360" w:lineRule="auto"/>
              <w:jc w:val="center"/>
              <w:rPr>
                <w:sz w:val="24"/>
                <w:szCs w:val="24"/>
              </w:rPr>
            </w:pPr>
            <w:r w:rsidRPr="00634A40">
              <w:rPr>
                <w:rFonts w:ascii="Arial" w:hAnsi="Arial"/>
                <w:b/>
                <w:color w:val="0F234B"/>
                <w:sz w:val="24"/>
                <w:szCs w:val="24"/>
              </w:rPr>
              <w:t>53,112</w:t>
            </w:r>
          </w:p>
        </w:tc>
        <w:tc>
          <w:tcPr>
            <w:tcW w:w="1944" w:type="dxa"/>
            <w:shd w:val="clear" w:color="auto" w:fill="F8FAFC"/>
            <w:tcMar>
              <w:top w:w="80" w:type="dxa"/>
              <w:left w:w="60" w:type="dxa"/>
              <w:bottom w:w="40" w:type="dxa"/>
              <w:right w:w="60" w:type="dxa"/>
            </w:tcMar>
          </w:tcPr>
          <w:p w14:paraId="041D0AED" w14:textId="77777777" w:rsidR="008561E4" w:rsidRPr="00634A40" w:rsidRDefault="00D83D5F" w:rsidP="00634A40">
            <w:pPr>
              <w:spacing w:after="0" w:line="360" w:lineRule="auto"/>
              <w:jc w:val="center"/>
              <w:rPr>
                <w:sz w:val="24"/>
                <w:szCs w:val="24"/>
              </w:rPr>
            </w:pPr>
            <w:r w:rsidRPr="00634A40">
              <w:rPr>
                <w:rFonts w:ascii="Arial" w:hAnsi="Arial"/>
                <w:b/>
                <w:color w:val="0F234B"/>
                <w:sz w:val="24"/>
                <w:szCs w:val="24"/>
              </w:rPr>
              <w:t>12,289</w:t>
            </w:r>
          </w:p>
        </w:tc>
        <w:tc>
          <w:tcPr>
            <w:tcW w:w="1944" w:type="dxa"/>
            <w:shd w:val="clear" w:color="auto" w:fill="F8FAFC"/>
            <w:tcMar>
              <w:top w:w="80" w:type="dxa"/>
              <w:left w:w="60" w:type="dxa"/>
              <w:bottom w:w="40" w:type="dxa"/>
              <w:right w:w="60" w:type="dxa"/>
            </w:tcMar>
          </w:tcPr>
          <w:p w14:paraId="6938CD5C" w14:textId="77777777" w:rsidR="008561E4" w:rsidRPr="00634A40" w:rsidRDefault="00D83D5F" w:rsidP="00634A40">
            <w:pPr>
              <w:spacing w:after="0" w:line="360" w:lineRule="auto"/>
              <w:jc w:val="center"/>
              <w:rPr>
                <w:sz w:val="24"/>
                <w:szCs w:val="24"/>
              </w:rPr>
            </w:pPr>
            <w:r w:rsidRPr="00634A40">
              <w:rPr>
                <w:rFonts w:ascii="Arial" w:hAnsi="Arial"/>
                <w:b/>
                <w:color w:val="0F234B"/>
                <w:sz w:val="24"/>
                <w:szCs w:val="24"/>
              </w:rPr>
              <w:t>88,168</w:t>
            </w:r>
          </w:p>
        </w:tc>
        <w:tc>
          <w:tcPr>
            <w:tcW w:w="1944" w:type="dxa"/>
            <w:shd w:val="clear" w:color="auto" w:fill="F8FAFC"/>
            <w:tcMar>
              <w:top w:w="80" w:type="dxa"/>
              <w:left w:w="60" w:type="dxa"/>
              <w:bottom w:w="40" w:type="dxa"/>
              <w:right w:w="60" w:type="dxa"/>
            </w:tcMar>
          </w:tcPr>
          <w:p w14:paraId="432B2328" w14:textId="77777777" w:rsidR="008561E4" w:rsidRPr="00634A40" w:rsidRDefault="00D83D5F" w:rsidP="00634A40">
            <w:pPr>
              <w:spacing w:after="0" w:line="360" w:lineRule="auto"/>
              <w:jc w:val="center"/>
              <w:rPr>
                <w:sz w:val="24"/>
                <w:szCs w:val="24"/>
              </w:rPr>
            </w:pPr>
            <w:r w:rsidRPr="00634A40">
              <w:rPr>
                <w:rFonts w:ascii="Arial" w:hAnsi="Arial"/>
                <w:b/>
                <w:color w:val="B91C1C"/>
                <w:sz w:val="24"/>
                <w:szCs w:val="24"/>
              </w:rPr>
              <w:t>37.9%</w:t>
            </w:r>
          </w:p>
        </w:tc>
        <w:tc>
          <w:tcPr>
            <w:tcW w:w="1944" w:type="dxa"/>
            <w:shd w:val="clear" w:color="auto" w:fill="F8FAFC"/>
            <w:tcMar>
              <w:top w:w="80" w:type="dxa"/>
              <w:left w:w="60" w:type="dxa"/>
              <w:bottom w:w="40" w:type="dxa"/>
              <w:right w:w="60" w:type="dxa"/>
            </w:tcMar>
          </w:tcPr>
          <w:p w14:paraId="68F07C1D" w14:textId="77777777" w:rsidR="008561E4" w:rsidRPr="00634A40" w:rsidRDefault="00D83D5F" w:rsidP="00634A40">
            <w:pPr>
              <w:spacing w:after="0" w:line="360" w:lineRule="auto"/>
              <w:jc w:val="center"/>
              <w:rPr>
                <w:sz w:val="24"/>
                <w:szCs w:val="24"/>
              </w:rPr>
            </w:pPr>
            <w:r w:rsidRPr="00634A40">
              <w:rPr>
                <w:rFonts w:ascii="Arial" w:hAnsi="Arial"/>
                <w:b/>
                <w:color w:val="B91C1C"/>
                <w:sz w:val="24"/>
                <w:szCs w:val="24"/>
              </w:rPr>
              <w:t>2,063</w:t>
            </w:r>
          </w:p>
        </w:tc>
      </w:tr>
      <w:tr w:rsidR="008561E4" w14:paraId="40FFB7E8" w14:textId="77777777">
        <w:trPr>
          <w:jc w:val="center"/>
        </w:trPr>
        <w:tc>
          <w:tcPr>
            <w:tcW w:w="1944" w:type="dxa"/>
            <w:shd w:val="clear" w:color="auto" w:fill="F1F5F9"/>
            <w:tcMar>
              <w:top w:w="40" w:type="dxa"/>
              <w:left w:w="60" w:type="dxa"/>
              <w:bottom w:w="80" w:type="dxa"/>
              <w:right w:w="60" w:type="dxa"/>
            </w:tcMar>
          </w:tcPr>
          <w:p w14:paraId="72BEF38F" w14:textId="77777777" w:rsidR="008561E4" w:rsidRPr="00634A40" w:rsidRDefault="00D83D5F" w:rsidP="00634A40">
            <w:pPr>
              <w:spacing w:after="0" w:line="360" w:lineRule="auto"/>
              <w:jc w:val="center"/>
              <w:rPr>
                <w:sz w:val="24"/>
                <w:szCs w:val="24"/>
              </w:rPr>
            </w:pPr>
            <w:r w:rsidRPr="00634A40">
              <w:rPr>
                <w:rFonts w:ascii="Arial" w:hAnsi="Arial"/>
                <w:color w:val="64748B"/>
                <w:sz w:val="24"/>
                <w:szCs w:val="24"/>
              </w:rPr>
              <w:t>Catchment Population</w:t>
            </w:r>
            <w:r w:rsidRPr="00634A40">
              <w:rPr>
                <w:rFonts w:ascii="Arial" w:hAnsi="Arial"/>
                <w:color w:val="64748B"/>
                <w:sz w:val="24"/>
                <w:szCs w:val="24"/>
              </w:rPr>
              <w:br/>
              <w:t xml:space="preserve">(10-min / 3km </w:t>
            </w:r>
            <w:r w:rsidRPr="00634A40">
              <w:rPr>
                <w:rFonts w:ascii="Arial" w:hAnsi="Arial"/>
                <w:color w:val="64748B"/>
                <w:sz w:val="24"/>
                <w:szCs w:val="24"/>
              </w:rPr>
              <w:lastRenderedPageBreak/>
              <w:t>Cycle)</w:t>
            </w:r>
          </w:p>
        </w:tc>
        <w:tc>
          <w:tcPr>
            <w:tcW w:w="1944" w:type="dxa"/>
            <w:shd w:val="clear" w:color="auto" w:fill="F1F5F9"/>
            <w:tcMar>
              <w:top w:w="40" w:type="dxa"/>
              <w:left w:w="60" w:type="dxa"/>
              <w:bottom w:w="80" w:type="dxa"/>
              <w:right w:w="60" w:type="dxa"/>
            </w:tcMar>
          </w:tcPr>
          <w:p w14:paraId="2292BC59" w14:textId="77777777" w:rsidR="008561E4" w:rsidRPr="00634A40" w:rsidRDefault="00D83D5F" w:rsidP="00634A40">
            <w:pPr>
              <w:spacing w:after="0" w:line="360" w:lineRule="auto"/>
              <w:jc w:val="center"/>
              <w:rPr>
                <w:sz w:val="24"/>
                <w:szCs w:val="24"/>
              </w:rPr>
            </w:pPr>
            <w:r w:rsidRPr="00634A40">
              <w:rPr>
                <w:rFonts w:ascii="Arial" w:hAnsi="Arial"/>
                <w:color w:val="64748B"/>
                <w:sz w:val="24"/>
                <w:szCs w:val="24"/>
              </w:rPr>
              <w:lastRenderedPageBreak/>
              <w:t>Walk Catchment Pop.</w:t>
            </w:r>
            <w:r w:rsidRPr="00634A40">
              <w:rPr>
                <w:rFonts w:ascii="Arial" w:hAnsi="Arial"/>
                <w:color w:val="64748B"/>
                <w:sz w:val="24"/>
                <w:szCs w:val="24"/>
              </w:rPr>
              <w:br/>
              <w:t xml:space="preserve">(10-min / 800m </w:t>
            </w:r>
            <w:r w:rsidRPr="00634A40">
              <w:rPr>
                <w:rFonts w:ascii="Arial" w:hAnsi="Arial"/>
                <w:color w:val="64748B"/>
                <w:sz w:val="24"/>
                <w:szCs w:val="24"/>
              </w:rPr>
              <w:lastRenderedPageBreak/>
              <w:t>Walk)</w:t>
            </w:r>
          </w:p>
        </w:tc>
        <w:tc>
          <w:tcPr>
            <w:tcW w:w="1944" w:type="dxa"/>
            <w:shd w:val="clear" w:color="auto" w:fill="F1F5F9"/>
            <w:tcMar>
              <w:top w:w="40" w:type="dxa"/>
              <w:left w:w="60" w:type="dxa"/>
              <w:bottom w:w="80" w:type="dxa"/>
              <w:right w:w="60" w:type="dxa"/>
            </w:tcMar>
          </w:tcPr>
          <w:p w14:paraId="72505E7F" w14:textId="77777777" w:rsidR="008561E4" w:rsidRPr="00634A40" w:rsidRDefault="00D83D5F" w:rsidP="00634A40">
            <w:pPr>
              <w:spacing w:after="0" w:line="360" w:lineRule="auto"/>
              <w:jc w:val="center"/>
              <w:rPr>
                <w:sz w:val="24"/>
                <w:szCs w:val="24"/>
              </w:rPr>
            </w:pPr>
            <w:r w:rsidRPr="00634A40">
              <w:rPr>
                <w:rFonts w:ascii="Arial" w:hAnsi="Arial"/>
                <w:color w:val="64748B"/>
                <w:sz w:val="24"/>
                <w:szCs w:val="24"/>
              </w:rPr>
              <w:lastRenderedPageBreak/>
              <w:t>Street Segments</w:t>
            </w:r>
            <w:r w:rsidRPr="00634A40">
              <w:rPr>
                <w:rFonts w:ascii="Arial" w:hAnsi="Arial"/>
                <w:color w:val="64748B"/>
                <w:sz w:val="24"/>
                <w:szCs w:val="24"/>
              </w:rPr>
              <w:br/>
              <w:t>Evaluated &amp; Scored</w:t>
            </w:r>
          </w:p>
        </w:tc>
        <w:tc>
          <w:tcPr>
            <w:tcW w:w="1944" w:type="dxa"/>
            <w:shd w:val="clear" w:color="auto" w:fill="F1F5F9"/>
            <w:tcMar>
              <w:top w:w="40" w:type="dxa"/>
              <w:left w:w="60" w:type="dxa"/>
              <w:bottom w:w="80" w:type="dxa"/>
              <w:right w:w="60" w:type="dxa"/>
            </w:tcMar>
          </w:tcPr>
          <w:p w14:paraId="104628DF" w14:textId="77777777" w:rsidR="008561E4" w:rsidRPr="00634A40" w:rsidRDefault="00D83D5F" w:rsidP="00634A40">
            <w:pPr>
              <w:spacing w:after="0" w:line="360" w:lineRule="auto"/>
              <w:jc w:val="center"/>
              <w:rPr>
                <w:sz w:val="24"/>
                <w:szCs w:val="24"/>
              </w:rPr>
            </w:pPr>
            <w:r w:rsidRPr="00634A40">
              <w:rPr>
                <w:rFonts w:ascii="Arial" w:hAnsi="Arial"/>
                <w:color w:val="64748B"/>
                <w:sz w:val="24"/>
                <w:szCs w:val="24"/>
              </w:rPr>
              <w:t>High-Risk Network</w:t>
            </w:r>
            <w:r w:rsidRPr="00634A40">
              <w:rPr>
                <w:rFonts w:ascii="Arial" w:hAnsi="Arial"/>
                <w:color w:val="64748B"/>
                <w:sz w:val="24"/>
                <w:szCs w:val="24"/>
              </w:rPr>
              <w:br/>
              <w:t>(Score 0–49)</w:t>
            </w:r>
          </w:p>
        </w:tc>
        <w:tc>
          <w:tcPr>
            <w:tcW w:w="1944" w:type="dxa"/>
            <w:shd w:val="clear" w:color="auto" w:fill="F1F5F9"/>
            <w:tcMar>
              <w:top w:w="40" w:type="dxa"/>
              <w:left w:w="60" w:type="dxa"/>
              <w:bottom w:w="80" w:type="dxa"/>
              <w:right w:w="60" w:type="dxa"/>
            </w:tcMar>
          </w:tcPr>
          <w:p w14:paraId="6E9ABADE" w14:textId="77777777" w:rsidR="008561E4" w:rsidRPr="00634A40" w:rsidRDefault="00D83D5F" w:rsidP="00634A40">
            <w:pPr>
              <w:spacing w:after="0" w:line="360" w:lineRule="auto"/>
              <w:jc w:val="center"/>
              <w:rPr>
                <w:sz w:val="24"/>
                <w:szCs w:val="24"/>
              </w:rPr>
            </w:pPr>
            <w:r w:rsidRPr="00634A40">
              <w:rPr>
                <w:rFonts w:ascii="Arial" w:hAnsi="Arial"/>
                <w:color w:val="64748B"/>
                <w:sz w:val="24"/>
                <w:szCs w:val="24"/>
              </w:rPr>
              <w:t>Vulnerable Commuters</w:t>
            </w:r>
            <w:r w:rsidRPr="00634A40">
              <w:rPr>
                <w:rFonts w:ascii="Arial" w:hAnsi="Arial"/>
                <w:color w:val="64748B"/>
                <w:sz w:val="24"/>
                <w:szCs w:val="24"/>
              </w:rPr>
              <w:br/>
              <w:t xml:space="preserve">Trapped in 12 </w:t>
            </w:r>
            <w:r w:rsidRPr="00634A40">
              <w:rPr>
                <w:rFonts w:ascii="Arial" w:hAnsi="Arial"/>
                <w:color w:val="64748B"/>
                <w:sz w:val="24"/>
                <w:szCs w:val="24"/>
              </w:rPr>
              <w:lastRenderedPageBreak/>
              <w:t>Zones</w:t>
            </w:r>
          </w:p>
        </w:tc>
      </w:tr>
    </w:tbl>
    <w:p w14:paraId="2D3F106E" w14:textId="77777777" w:rsidR="008561E4" w:rsidRDefault="00D83D5F" w:rsidP="00634A40">
      <w:pPr>
        <w:keepNext/>
        <w:spacing w:before="280" w:after="80" w:line="360" w:lineRule="auto"/>
      </w:pPr>
      <w:r>
        <w:rPr>
          <w:rFonts w:ascii="Arial" w:hAnsi="Arial"/>
          <w:b/>
          <w:color w:val="0F234B"/>
          <w:sz w:val="28"/>
        </w:rPr>
        <w:lastRenderedPageBreak/>
        <w:t>4. Spatial Analytics &amp; Dashboard Visualization</w:t>
      </w:r>
    </w:p>
    <w:p w14:paraId="67661AEF" w14:textId="77777777" w:rsidR="008561E4" w:rsidRPr="00634A40" w:rsidRDefault="00D83D5F" w:rsidP="00634A40">
      <w:pPr>
        <w:spacing w:after="80" w:line="360" w:lineRule="auto"/>
        <w:rPr>
          <w:rFonts w:ascii="Arial" w:hAnsi="Arial"/>
          <w:color w:val="1E293B"/>
          <w:sz w:val="24"/>
          <w:szCs w:val="24"/>
        </w:rPr>
      </w:pPr>
      <w:r w:rsidRPr="00634A40">
        <w:rPr>
          <w:rFonts w:ascii="Arial" w:hAnsi="Arial"/>
          <w:color w:val="1E293B"/>
          <w:sz w:val="24"/>
          <w:szCs w:val="24"/>
        </w:rPr>
        <w:t>The spatial intelligence model was deployed onto an interactive Tableau Public dashboard, visualizing the geometric catchment layers, street safety indices, and localized high-friction demographic bottlenecks across South Dublin.</w:t>
      </w:r>
    </w:p>
    <w:p w14:paraId="53242DE5" w14:textId="77777777" w:rsidR="00F5513F" w:rsidRDefault="00F5513F" w:rsidP="00634A40">
      <w:pPr>
        <w:pStyle w:val="NormalWeb"/>
        <w:spacing w:line="360" w:lineRule="auto"/>
      </w:pPr>
      <w:r>
        <w:rPr>
          <w:noProof/>
        </w:rPr>
        <w:drawing>
          <wp:inline distT="0" distB="0" distL="0" distR="0" wp14:anchorId="766DC99D" wp14:editId="6CDC81F8">
            <wp:extent cx="5548630" cy="2774950"/>
            <wp:effectExtent l="0" t="0" r="0" b="6350"/>
            <wp:docPr id="1" name="Picture 1" descr="C:\Users\HP\Downloads\Screenshot of Tableau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Screenshot of Tableau Dashboar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1335" cy="2786305"/>
                    </a:xfrm>
                    <a:prstGeom prst="rect">
                      <a:avLst/>
                    </a:prstGeom>
                    <a:noFill/>
                    <a:ln>
                      <a:noFill/>
                    </a:ln>
                  </pic:spPr>
                </pic:pic>
              </a:graphicData>
            </a:graphic>
          </wp:inline>
        </w:drawing>
      </w:r>
    </w:p>
    <w:p w14:paraId="2E0199B0" w14:textId="77777777" w:rsidR="008561E4" w:rsidRDefault="00D83D5F" w:rsidP="00634A40">
      <w:pPr>
        <w:keepNext/>
        <w:spacing w:before="280" w:after="80" w:line="360" w:lineRule="auto"/>
      </w:pPr>
      <w:r>
        <w:rPr>
          <w:rFonts w:ascii="Arial" w:hAnsi="Arial"/>
          <w:b/>
          <w:color w:val="0F234B"/>
          <w:sz w:val="28"/>
        </w:rPr>
        <w:t xml:space="preserve">5. Detailed Results </w:t>
      </w:r>
      <w:r w:rsidR="00F5513F">
        <w:rPr>
          <w:rFonts w:ascii="Arial" w:hAnsi="Arial"/>
          <w:b/>
          <w:color w:val="0F234B"/>
          <w:sz w:val="28"/>
        </w:rPr>
        <w:t>and</w:t>
      </w:r>
      <w:r>
        <w:rPr>
          <w:rFonts w:ascii="Arial" w:hAnsi="Arial"/>
          <w:b/>
          <w:color w:val="0F234B"/>
          <w:sz w:val="28"/>
        </w:rPr>
        <w:t xml:space="preserve"> Analytical Breakdown</w:t>
      </w:r>
    </w:p>
    <w:tbl>
      <w:tblPr>
        <w:tblW w:w="0" w:type="auto"/>
        <w:jc w:val="center"/>
        <w:tblLayout w:type="fixed"/>
        <w:tblLook w:val="04A0" w:firstRow="1" w:lastRow="0" w:firstColumn="1" w:lastColumn="0" w:noHBand="0" w:noVBand="1"/>
      </w:tblPr>
      <w:tblGrid>
        <w:gridCol w:w="4752"/>
        <w:gridCol w:w="4752"/>
      </w:tblGrid>
      <w:tr w:rsidR="008561E4" w:rsidRPr="001602A6" w14:paraId="129A9860" w14:textId="77777777">
        <w:trPr>
          <w:jc w:val="center"/>
        </w:trPr>
        <w:tc>
          <w:tcPr>
            <w:tcW w:w="4752" w:type="dxa"/>
            <w:shd w:val="clear" w:color="auto" w:fill="FFFFFF"/>
            <w:tcMar>
              <w:top w:w="100" w:type="dxa"/>
              <w:left w:w="120" w:type="dxa"/>
              <w:bottom w:w="100" w:type="dxa"/>
              <w:right w:w="120" w:type="dxa"/>
            </w:tcMar>
          </w:tcPr>
          <w:p w14:paraId="0E71B335" w14:textId="77777777" w:rsidR="008561E4" w:rsidRPr="001602A6" w:rsidRDefault="00D83D5F" w:rsidP="00634A40">
            <w:pPr>
              <w:spacing w:after="60" w:line="360" w:lineRule="auto"/>
              <w:rPr>
                <w:sz w:val="24"/>
                <w:szCs w:val="24"/>
              </w:rPr>
            </w:pPr>
            <w:r w:rsidRPr="001602A6">
              <w:rPr>
                <w:rFonts w:ascii="Arial" w:hAnsi="Arial"/>
                <w:b/>
                <w:color w:val="0F234B"/>
                <w:sz w:val="24"/>
                <w:szCs w:val="24"/>
              </w:rPr>
              <w:t>A. Severe Infrastructure Deficit</w:t>
            </w:r>
          </w:p>
          <w:p w14:paraId="3AF4A98F" w14:textId="4B887C9A" w:rsidR="008561E4" w:rsidRPr="001602A6" w:rsidRDefault="00D83D5F" w:rsidP="00634A40">
            <w:pPr>
              <w:spacing w:after="0" w:line="360" w:lineRule="auto"/>
              <w:rPr>
                <w:sz w:val="24"/>
                <w:szCs w:val="24"/>
              </w:rPr>
            </w:pPr>
            <w:r w:rsidRPr="001602A6">
              <w:rPr>
                <w:rFonts w:ascii="Arial" w:hAnsi="Arial"/>
                <w:color w:val="1E293B"/>
                <w:sz w:val="24"/>
                <w:szCs w:val="24"/>
              </w:rPr>
              <w:t>• Mixed Traffic Dominance: Out of 88,168 navigable street segments, 45,351 (51.4%) force cyclists into mixed vehicular traffic.</w:t>
            </w:r>
            <w:r w:rsidRPr="001602A6">
              <w:rPr>
                <w:rFonts w:ascii="Arial" w:hAnsi="Arial"/>
                <w:color w:val="1E293B"/>
                <w:sz w:val="24"/>
                <w:szCs w:val="24"/>
              </w:rPr>
              <w:br/>
              <w:t>• Lack of Segregation: Only 4,256 segments (4.8%) provide dedicated, segregated cycle tracks.</w:t>
            </w:r>
            <w:r w:rsidRPr="001602A6">
              <w:rPr>
                <w:rFonts w:ascii="Arial" w:hAnsi="Arial"/>
                <w:color w:val="1E293B"/>
                <w:sz w:val="24"/>
                <w:szCs w:val="24"/>
              </w:rPr>
              <w:br/>
              <w:t xml:space="preserve">• High-Risk Exposure: 33,414 segments (37.9%) scored between 0–49 on the Corridor Safety Index due to </w:t>
            </w:r>
            <w:r w:rsidR="001602A6" w:rsidRPr="001602A6">
              <w:rPr>
                <w:rFonts w:ascii="Arial" w:hAnsi="Arial"/>
                <w:color w:val="1E293B"/>
                <w:sz w:val="24"/>
                <w:szCs w:val="24"/>
              </w:rPr>
              <w:t>high-speed</w:t>
            </w:r>
            <w:r w:rsidRPr="001602A6">
              <w:rPr>
                <w:rFonts w:ascii="Arial" w:hAnsi="Arial"/>
                <w:color w:val="1E293B"/>
                <w:sz w:val="24"/>
                <w:szCs w:val="24"/>
              </w:rPr>
              <w:t xml:space="preserve"> limits (&gt;50 km/h) and lack of dedicated footpaths.</w:t>
            </w:r>
          </w:p>
        </w:tc>
        <w:tc>
          <w:tcPr>
            <w:tcW w:w="4752" w:type="dxa"/>
            <w:shd w:val="clear" w:color="auto" w:fill="FFFFFF"/>
            <w:tcMar>
              <w:top w:w="100" w:type="dxa"/>
              <w:left w:w="120" w:type="dxa"/>
              <w:bottom w:w="100" w:type="dxa"/>
              <w:right w:w="120" w:type="dxa"/>
            </w:tcMar>
          </w:tcPr>
          <w:p w14:paraId="57199A5B" w14:textId="77777777" w:rsidR="008561E4" w:rsidRPr="001602A6" w:rsidRDefault="00D83D5F" w:rsidP="00634A40">
            <w:pPr>
              <w:spacing w:after="60" w:line="360" w:lineRule="auto"/>
              <w:rPr>
                <w:sz w:val="24"/>
                <w:szCs w:val="24"/>
              </w:rPr>
            </w:pPr>
            <w:r w:rsidRPr="001602A6">
              <w:rPr>
                <w:rFonts w:ascii="Arial" w:hAnsi="Arial"/>
                <w:b/>
                <w:color w:val="0F234B"/>
                <w:sz w:val="24"/>
                <w:szCs w:val="24"/>
              </w:rPr>
              <w:t>B. The 12 High-Friction Bottlenecks</w:t>
            </w:r>
          </w:p>
          <w:p w14:paraId="0C4372DF" w14:textId="77777777" w:rsidR="008561E4" w:rsidRPr="001602A6" w:rsidRDefault="00D83D5F" w:rsidP="00634A40">
            <w:pPr>
              <w:spacing w:after="0" w:line="360" w:lineRule="auto"/>
              <w:rPr>
                <w:sz w:val="24"/>
                <w:szCs w:val="24"/>
              </w:rPr>
            </w:pPr>
            <w:r w:rsidRPr="001602A6">
              <w:rPr>
                <w:rFonts w:ascii="Arial" w:hAnsi="Arial"/>
                <w:color w:val="1E293B"/>
                <w:sz w:val="24"/>
                <w:szCs w:val="24"/>
              </w:rPr>
              <w:t>• 2,063 Vulnerable Commuters: Spatially identified in 12 distinct CSO Small Area zones within a 10-minute cycle of Luas stops, trapped by low safety scores.</w:t>
            </w:r>
            <w:r w:rsidRPr="001602A6">
              <w:rPr>
                <w:rFonts w:ascii="Arial" w:hAnsi="Arial"/>
                <w:color w:val="1E293B"/>
                <w:sz w:val="24"/>
                <w:szCs w:val="24"/>
              </w:rPr>
              <w:br/>
              <w:t xml:space="preserve">• Top Impacted Areas: Stillorgan Road / Mount Merrion, Upper </w:t>
            </w:r>
            <w:proofErr w:type="spellStart"/>
            <w:r w:rsidRPr="001602A6">
              <w:rPr>
                <w:rFonts w:ascii="Arial" w:hAnsi="Arial"/>
                <w:color w:val="1E293B"/>
                <w:sz w:val="24"/>
                <w:szCs w:val="24"/>
              </w:rPr>
              <w:t>Kilmacud</w:t>
            </w:r>
            <w:proofErr w:type="spellEnd"/>
            <w:r w:rsidRPr="001602A6">
              <w:rPr>
                <w:rFonts w:ascii="Arial" w:hAnsi="Arial"/>
                <w:color w:val="1E293B"/>
                <w:sz w:val="24"/>
                <w:szCs w:val="24"/>
              </w:rPr>
              <w:t xml:space="preserve"> Road, Ballybrack / Cabinteely, Lower </w:t>
            </w:r>
            <w:proofErr w:type="spellStart"/>
            <w:r w:rsidRPr="001602A6">
              <w:rPr>
                <w:rFonts w:ascii="Arial" w:hAnsi="Arial"/>
                <w:color w:val="1E293B"/>
                <w:sz w:val="24"/>
                <w:szCs w:val="24"/>
              </w:rPr>
              <w:t>Kilmacud</w:t>
            </w:r>
            <w:proofErr w:type="spellEnd"/>
            <w:r w:rsidRPr="001602A6">
              <w:rPr>
                <w:rFonts w:ascii="Arial" w:hAnsi="Arial"/>
                <w:color w:val="1E293B"/>
                <w:sz w:val="24"/>
                <w:szCs w:val="24"/>
              </w:rPr>
              <w:t xml:space="preserve"> Road, and Chestnut Grove (Ballinteer).</w:t>
            </w:r>
            <w:r w:rsidRPr="001602A6">
              <w:rPr>
                <w:rFonts w:ascii="Arial" w:hAnsi="Arial"/>
                <w:color w:val="1E293B"/>
                <w:sz w:val="24"/>
                <w:szCs w:val="24"/>
              </w:rPr>
              <w:br/>
              <w:t>• Cycling Multiplier: Cycling extends transit catchment from 12,289 (walk) to 53,112 residents (a 332% expansion).</w:t>
            </w:r>
          </w:p>
        </w:tc>
      </w:tr>
    </w:tbl>
    <w:p w14:paraId="4FD459AA" w14:textId="77777777" w:rsidR="008561E4" w:rsidRDefault="00D83D5F" w:rsidP="00634A40">
      <w:pPr>
        <w:keepNext/>
        <w:spacing w:before="280" w:after="80" w:line="360" w:lineRule="auto"/>
      </w:pPr>
      <w:r>
        <w:rPr>
          <w:rFonts w:ascii="Arial" w:hAnsi="Arial"/>
          <w:b/>
          <w:color w:val="0F234B"/>
          <w:sz w:val="28"/>
        </w:rPr>
        <w:lastRenderedPageBreak/>
        <w:t xml:space="preserve">6. Keys to Success </w:t>
      </w:r>
      <w:r w:rsidR="00F5513F">
        <w:rPr>
          <w:rFonts w:ascii="Arial" w:hAnsi="Arial"/>
          <w:b/>
          <w:color w:val="0F234B"/>
          <w:sz w:val="28"/>
        </w:rPr>
        <w:t>and</w:t>
      </w:r>
      <w:r>
        <w:rPr>
          <w:rFonts w:ascii="Arial" w:hAnsi="Arial"/>
          <w:b/>
          <w:color w:val="0F234B"/>
          <w:sz w:val="28"/>
        </w:rPr>
        <w:t xml:space="preserve"> Strategic Next Steps</w:t>
      </w:r>
    </w:p>
    <w:p w14:paraId="2080B0D7" w14:textId="77777777" w:rsidR="008561E4" w:rsidRPr="00634A40" w:rsidRDefault="00D83D5F" w:rsidP="00634A40">
      <w:pPr>
        <w:spacing w:after="80" w:line="360" w:lineRule="auto"/>
        <w:rPr>
          <w:sz w:val="24"/>
          <w:szCs w:val="24"/>
        </w:rPr>
      </w:pPr>
      <w:r w:rsidRPr="00634A40">
        <w:rPr>
          <w:rFonts w:ascii="Arial" w:hAnsi="Arial"/>
          <w:color w:val="1E293B"/>
          <w:sz w:val="24"/>
          <w:szCs w:val="24"/>
        </w:rPr>
        <w:t>Drawing from the format and operational insights of national analytical initiatives, the successful scaling of the Hyperlocal Micro-Mobility Planner rests on four foundational pillars:</w:t>
      </w:r>
    </w:p>
    <w:tbl>
      <w:tblPr>
        <w:tblW w:w="0" w:type="auto"/>
        <w:jc w:val="center"/>
        <w:tblLayout w:type="fixed"/>
        <w:tblLook w:val="04A0" w:firstRow="1" w:lastRow="0" w:firstColumn="1" w:lastColumn="0" w:noHBand="0" w:noVBand="1"/>
      </w:tblPr>
      <w:tblGrid>
        <w:gridCol w:w="3168"/>
        <w:gridCol w:w="6480"/>
      </w:tblGrid>
      <w:tr w:rsidR="008561E4" w:rsidRPr="00634A40" w14:paraId="094D84E5" w14:textId="77777777">
        <w:trPr>
          <w:jc w:val="center"/>
        </w:trPr>
        <w:tc>
          <w:tcPr>
            <w:tcW w:w="3168" w:type="dxa"/>
            <w:shd w:val="clear" w:color="auto" w:fill="EFF6FF"/>
            <w:tcMar>
              <w:top w:w="80" w:type="dxa"/>
              <w:left w:w="100" w:type="dxa"/>
              <w:bottom w:w="80" w:type="dxa"/>
              <w:right w:w="100" w:type="dxa"/>
            </w:tcMar>
          </w:tcPr>
          <w:p w14:paraId="040CF908" w14:textId="77777777" w:rsidR="008561E4" w:rsidRPr="00634A40" w:rsidRDefault="00D83D5F" w:rsidP="00634A40">
            <w:pPr>
              <w:spacing w:after="0" w:line="360" w:lineRule="auto"/>
              <w:rPr>
                <w:sz w:val="24"/>
                <w:szCs w:val="24"/>
              </w:rPr>
            </w:pPr>
            <w:r w:rsidRPr="00634A40">
              <w:rPr>
                <w:rFonts w:ascii="Arial" w:hAnsi="Arial"/>
                <w:b/>
                <w:color w:val="0F234B"/>
                <w:sz w:val="24"/>
                <w:szCs w:val="24"/>
              </w:rPr>
              <w:t>1. Timely &amp; Unified Spatial Data Ingestion</w:t>
            </w:r>
          </w:p>
        </w:tc>
        <w:tc>
          <w:tcPr>
            <w:tcW w:w="6480" w:type="dxa"/>
            <w:shd w:val="clear" w:color="auto" w:fill="EFF6FF"/>
            <w:tcMar>
              <w:top w:w="80" w:type="dxa"/>
              <w:left w:w="100" w:type="dxa"/>
              <w:bottom w:w="80" w:type="dxa"/>
              <w:right w:w="100" w:type="dxa"/>
            </w:tcMar>
          </w:tcPr>
          <w:p w14:paraId="00BA61FB" w14:textId="77777777" w:rsidR="008561E4" w:rsidRPr="00634A40" w:rsidRDefault="00D83D5F" w:rsidP="00634A40">
            <w:pPr>
              <w:spacing w:after="0" w:line="360" w:lineRule="auto"/>
              <w:rPr>
                <w:sz w:val="24"/>
                <w:szCs w:val="24"/>
              </w:rPr>
            </w:pPr>
            <w:r w:rsidRPr="00634A40">
              <w:rPr>
                <w:rFonts w:ascii="Arial" w:hAnsi="Arial"/>
                <w:color w:val="1E293B"/>
                <w:sz w:val="24"/>
                <w:szCs w:val="24"/>
              </w:rPr>
              <w:t>Continuous synchronization of GTFS transit feeds from the National Transport Authority (NTA), OpenStreetMap pedestrian graph updates, and CSO Census demographics to maintain real-time accuracy across network catchments.</w:t>
            </w:r>
          </w:p>
        </w:tc>
      </w:tr>
      <w:tr w:rsidR="008561E4" w:rsidRPr="00634A40" w14:paraId="49809C5D" w14:textId="77777777">
        <w:trPr>
          <w:jc w:val="center"/>
        </w:trPr>
        <w:tc>
          <w:tcPr>
            <w:tcW w:w="3168" w:type="dxa"/>
            <w:shd w:val="clear" w:color="auto" w:fill="F8FAFC"/>
            <w:tcMar>
              <w:top w:w="80" w:type="dxa"/>
              <w:left w:w="100" w:type="dxa"/>
              <w:bottom w:w="80" w:type="dxa"/>
              <w:right w:w="100" w:type="dxa"/>
            </w:tcMar>
          </w:tcPr>
          <w:p w14:paraId="7DF00D32" w14:textId="77777777" w:rsidR="008561E4" w:rsidRPr="00634A40" w:rsidRDefault="00D83D5F" w:rsidP="00634A40">
            <w:pPr>
              <w:spacing w:after="0" w:line="360" w:lineRule="auto"/>
              <w:rPr>
                <w:sz w:val="24"/>
                <w:szCs w:val="24"/>
              </w:rPr>
            </w:pPr>
            <w:r w:rsidRPr="00634A40">
              <w:rPr>
                <w:rFonts w:ascii="Arial" w:hAnsi="Arial"/>
                <w:b/>
                <w:color w:val="0F234B"/>
                <w:sz w:val="24"/>
                <w:szCs w:val="24"/>
              </w:rPr>
              <w:t>2. Expanding Cycle South Dublin to Suburban Corridors</w:t>
            </w:r>
          </w:p>
        </w:tc>
        <w:tc>
          <w:tcPr>
            <w:tcW w:w="6480" w:type="dxa"/>
            <w:shd w:val="clear" w:color="auto" w:fill="F8FAFC"/>
            <w:tcMar>
              <w:top w:w="80" w:type="dxa"/>
              <w:left w:w="100" w:type="dxa"/>
              <w:bottom w:w="80" w:type="dxa"/>
              <w:right w:w="100" w:type="dxa"/>
            </w:tcMar>
          </w:tcPr>
          <w:p w14:paraId="7D3731DB" w14:textId="77777777" w:rsidR="008561E4" w:rsidRPr="00634A40" w:rsidRDefault="00D83D5F" w:rsidP="00634A40">
            <w:pPr>
              <w:spacing w:after="0" w:line="360" w:lineRule="auto"/>
              <w:rPr>
                <w:sz w:val="24"/>
                <w:szCs w:val="24"/>
              </w:rPr>
            </w:pPr>
            <w:r w:rsidRPr="00634A40">
              <w:rPr>
                <w:rFonts w:ascii="Arial" w:hAnsi="Arial"/>
                <w:color w:val="1E293B"/>
                <w:sz w:val="24"/>
                <w:szCs w:val="24"/>
              </w:rPr>
              <w:t>While South Dublin County Council's 'Cycle South Dublin' project targets 263 km of cycle lanes in Clondalkin, Tallaght, and Lucan, this model proves that funding must expand to the Dundrum–Sandyford corridor to unblock 53,000+ residents.</w:t>
            </w:r>
          </w:p>
        </w:tc>
      </w:tr>
      <w:tr w:rsidR="008561E4" w:rsidRPr="00634A40" w14:paraId="452E10D0" w14:textId="77777777">
        <w:trPr>
          <w:jc w:val="center"/>
        </w:trPr>
        <w:tc>
          <w:tcPr>
            <w:tcW w:w="3168" w:type="dxa"/>
            <w:shd w:val="clear" w:color="auto" w:fill="EFF6FF"/>
            <w:tcMar>
              <w:top w:w="80" w:type="dxa"/>
              <w:left w:w="100" w:type="dxa"/>
              <w:bottom w:w="80" w:type="dxa"/>
              <w:right w:w="100" w:type="dxa"/>
            </w:tcMar>
          </w:tcPr>
          <w:p w14:paraId="65FB74B9" w14:textId="77777777" w:rsidR="008561E4" w:rsidRPr="00634A40" w:rsidRDefault="00D83D5F" w:rsidP="00634A40">
            <w:pPr>
              <w:spacing w:after="0" w:line="360" w:lineRule="auto"/>
              <w:rPr>
                <w:sz w:val="24"/>
                <w:szCs w:val="24"/>
              </w:rPr>
            </w:pPr>
            <w:r w:rsidRPr="00634A40">
              <w:rPr>
                <w:rFonts w:ascii="Arial" w:hAnsi="Arial"/>
                <w:b/>
                <w:color w:val="0F234B"/>
                <w:sz w:val="24"/>
                <w:szCs w:val="24"/>
              </w:rPr>
              <w:t>3. Targeted Infrastructure Remediation in 12 Choke Points</w:t>
            </w:r>
          </w:p>
        </w:tc>
        <w:tc>
          <w:tcPr>
            <w:tcW w:w="6480" w:type="dxa"/>
            <w:shd w:val="clear" w:color="auto" w:fill="EFF6FF"/>
            <w:tcMar>
              <w:top w:w="80" w:type="dxa"/>
              <w:left w:w="100" w:type="dxa"/>
              <w:bottom w:w="80" w:type="dxa"/>
              <w:right w:w="100" w:type="dxa"/>
            </w:tcMar>
          </w:tcPr>
          <w:p w14:paraId="7AB9CE58" w14:textId="77777777" w:rsidR="008561E4" w:rsidRPr="00634A40" w:rsidRDefault="00D83D5F" w:rsidP="00634A40">
            <w:pPr>
              <w:spacing w:after="0" w:line="360" w:lineRule="auto"/>
              <w:rPr>
                <w:sz w:val="24"/>
                <w:szCs w:val="24"/>
              </w:rPr>
            </w:pPr>
            <w:r w:rsidRPr="00634A40">
              <w:rPr>
                <w:rFonts w:ascii="Arial" w:hAnsi="Arial"/>
                <w:color w:val="1E293B"/>
                <w:sz w:val="24"/>
                <w:szCs w:val="24"/>
              </w:rPr>
              <w:t>Prioritize immediate capital investment (traffic calming, protected cycle tracks, and signalized crossings) in the 12 identified high-friction residential estates where 2,063 residents face acute active-travel barriers.</w:t>
            </w:r>
          </w:p>
        </w:tc>
      </w:tr>
      <w:tr w:rsidR="008561E4" w:rsidRPr="00634A40" w14:paraId="0DC4A125" w14:textId="77777777">
        <w:trPr>
          <w:jc w:val="center"/>
        </w:trPr>
        <w:tc>
          <w:tcPr>
            <w:tcW w:w="3168" w:type="dxa"/>
            <w:shd w:val="clear" w:color="auto" w:fill="F8FAFC"/>
            <w:tcMar>
              <w:top w:w="80" w:type="dxa"/>
              <w:left w:w="100" w:type="dxa"/>
              <w:bottom w:w="80" w:type="dxa"/>
              <w:right w:w="100" w:type="dxa"/>
            </w:tcMar>
          </w:tcPr>
          <w:p w14:paraId="1347C55F" w14:textId="77777777" w:rsidR="008561E4" w:rsidRPr="00634A40" w:rsidRDefault="00D83D5F" w:rsidP="00634A40">
            <w:pPr>
              <w:spacing w:after="0" w:line="360" w:lineRule="auto"/>
              <w:rPr>
                <w:sz w:val="24"/>
                <w:szCs w:val="24"/>
              </w:rPr>
            </w:pPr>
            <w:r w:rsidRPr="00634A40">
              <w:rPr>
                <w:rFonts w:ascii="Arial" w:hAnsi="Arial"/>
                <w:b/>
                <w:color w:val="0F234B"/>
                <w:sz w:val="24"/>
                <w:szCs w:val="24"/>
              </w:rPr>
              <w:t>4. Open-Source Institutional Maintenance &amp; SDG 11 Alignment</w:t>
            </w:r>
          </w:p>
        </w:tc>
        <w:tc>
          <w:tcPr>
            <w:tcW w:w="6480" w:type="dxa"/>
            <w:shd w:val="clear" w:color="auto" w:fill="F8FAFC"/>
            <w:tcMar>
              <w:top w:w="80" w:type="dxa"/>
              <w:left w:w="100" w:type="dxa"/>
              <w:bottom w:w="80" w:type="dxa"/>
              <w:right w:w="100" w:type="dxa"/>
            </w:tcMar>
          </w:tcPr>
          <w:p w14:paraId="436B7DC4" w14:textId="77777777" w:rsidR="008561E4" w:rsidRPr="00634A40" w:rsidRDefault="00D83D5F" w:rsidP="00634A40">
            <w:pPr>
              <w:spacing w:after="0" w:line="360" w:lineRule="auto"/>
              <w:rPr>
                <w:sz w:val="24"/>
                <w:szCs w:val="24"/>
              </w:rPr>
            </w:pPr>
            <w:r w:rsidRPr="00634A40">
              <w:rPr>
                <w:rFonts w:ascii="Arial" w:hAnsi="Arial"/>
                <w:color w:val="1E293B"/>
                <w:sz w:val="24"/>
                <w:szCs w:val="24"/>
              </w:rPr>
              <w:t>Institutionalize the Python-based geospatial analytics pipeline across Dublin local authorities (DLR, SDCC) to dynamically re-evaluate urban mobility and report progress against UN SDG Target 11.2.</w:t>
            </w:r>
          </w:p>
        </w:tc>
      </w:tr>
    </w:tbl>
    <w:p w14:paraId="4B66D338" w14:textId="77777777" w:rsidR="008561E4" w:rsidRDefault="00D83D5F" w:rsidP="00634A40">
      <w:pPr>
        <w:keepNext/>
        <w:spacing w:before="280" w:after="80" w:line="360" w:lineRule="auto"/>
      </w:pPr>
      <w:r>
        <w:rPr>
          <w:rFonts w:ascii="Arial" w:hAnsi="Arial"/>
          <w:b/>
          <w:color w:val="0F234B"/>
          <w:sz w:val="28"/>
        </w:rPr>
        <w:t xml:space="preserve">7. Conclusion </w:t>
      </w:r>
      <w:r w:rsidR="00F5513F">
        <w:rPr>
          <w:rFonts w:ascii="Arial" w:hAnsi="Arial"/>
          <w:b/>
          <w:color w:val="0F234B"/>
          <w:sz w:val="28"/>
        </w:rPr>
        <w:t>and</w:t>
      </w:r>
      <w:r>
        <w:rPr>
          <w:rFonts w:ascii="Arial" w:hAnsi="Arial"/>
          <w:b/>
          <w:color w:val="0F234B"/>
          <w:sz w:val="28"/>
        </w:rPr>
        <w:t xml:space="preserve"> Alignment with UN SDG 11.2</w:t>
      </w:r>
    </w:p>
    <w:p w14:paraId="42C1EFD3" w14:textId="77777777" w:rsidR="008561E4" w:rsidRPr="00634A40" w:rsidRDefault="00D83D5F" w:rsidP="00634A40">
      <w:pPr>
        <w:spacing w:after="80" w:line="360" w:lineRule="auto"/>
        <w:rPr>
          <w:sz w:val="24"/>
          <w:szCs w:val="24"/>
        </w:rPr>
      </w:pPr>
      <w:r w:rsidRPr="00634A40">
        <w:rPr>
          <w:rFonts w:ascii="Arial" w:hAnsi="Arial"/>
          <w:color w:val="1E293B"/>
          <w:sz w:val="24"/>
          <w:szCs w:val="24"/>
        </w:rPr>
        <w:t>The Dublin South Micro-Mobility Project proves that investing in high-capacity light rail (Luas) alone does not solve the suburban mobility challenge if the last-mile feeder routes remain hostile to pedestrians and cyclists. By transforming complex geospatial graph networks into actionable business intelligence, the project provides municipal planners and transport authorities with an empirical roadmap to convert car-dominated suburban c</w:t>
      </w:r>
      <w:r w:rsidR="00F5513F" w:rsidRPr="00634A40">
        <w:rPr>
          <w:rFonts w:ascii="Arial" w:hAnsi="Arial"/>
          <w:color w:val="1E293B"/>
          <w:sz w:val="24"/>
          <w:szCs w:val="24"/>
        </w:rPr>
        <w:t xml:space="preserve">orridors into safe, accessible </w:t>
      </w:r>
      <w:r w:rsidRPr="00634A40">
        <w:rPr>
          <w:rFonts w:ascii="Arial" w:hAnsi="Arial"/>
          <w:color w:val="1E293B"/>
          <w:sz w:val="24"/>
          <w:szCs w:val="24"/>
        </w:rPr>
        <w:t>and low-carbon active travel networks.</w:t>
      </w:r>
    </w:p>
    <w:tbl>
      <w:tblPr>
        <w:tblW w:w="0" w:type="auto"/>
        <w:jc w:val="center"/>
        <w:tblLayout w:type="fixed"/>
        <w:tblLook w:val="04A0" w:firstRow="1" w:lastRow="0" w:firstColumn="1" w:lastColumn="0" w:noHBand="0" w:noVBand="1"/>
      </w:tblPr>
      <w:tblGrid>
        <w:gridCol w:w="9749"/>
      </w:tblGrid>
      <w:tr w:rsidR="008561E4" w14:paraId="7A64EE3F" w14:textId="77777777">
        <w:trPr>
          <w:jc w:val="center"/>
        </w:trPr>
        <w:tc>
          <w:tcPr>
            <w:tcW w:w="9749" w:type="dxa"/>
            <w:shd w:val="clear" w:color="auto" w:fill="0F234B"/>
            <w:tcMar>
              <w:top w:w="120" w:type="dxa"/>
              <w:left w:w="160" w:type="dxa"/>
              <w:bottom w:w="120" w:type="dxa"/>
              <w:right w:w="160" w:type="dxa"/>
            </w:tcMar>
          </w:tcPr>
          <w:p w14:paraId="251A3B62" w14:textId="77777777" w:rsidR="008561E4" w:rsidRPr="00634A40" w:rsidRDefault="00D83D5F" w:rsidP="00634A40">
            <w:pPr>
              <w:spacing w:after="0" w:line="360" w:lineRule="auto"/>
              <w:rPr>
                <w:sz w:val="24"/>
                <w:szCs w:val="24"/>
              </w:rPr>
            </w:pPr>
            <w:r w:rsidRPr="00634A40">
              <w:rPr>
                <w:rFonts w:ascii="Arial" w:hAnsi="Arial"/>
                <w:b/>
                <w:color w:val="FFFFFF"/>
                <w:sz w:val="24"/>
                <w:szCs w:val="24"/>
              </w:rPr>
              <w:t>Strategic Alignment: UN Sustainable Development Goal 11 — Target 11.2: Providing access to safe, affordable, accessible, and sustainable transport systems for all by 2030 through evidence-based active travel planning.</w:t>
            </w:r>
          </w:p>
        </w:tc>
      </w:tr>
    </w:tbl>
    <w:p w14:paraId="0D14EA50" w14:textId="77777777" w:rsidR="00D83D5F" w:rsidRDefault="00D83D5F" w:rsidP="00634A40">
      <w:pPr>
        <w:spacing w:line="360" w:lineRule="auto"/>
      </w:pPr>
    </w:p>
    <w:sectPr w:rsidR="00D83D5F" w:rsidSect="00F5513F">
      <w:footerReference w:type="default" r:id="rId9"/>
      <w:pgSz w:w="11909" w:h="16834"/>
      <w:pgMar w:top="360"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024A" w14:textId="77777777" w:rsidR="000C3553" w:rsidRDefault="000C3553" w:rsidP="00F5513F">
      <w:pPr>
        <w:spacing w:after="0" w:line="240" w:lineRule="auto"/>
      </w:pPr>
      <w:r>
        <w:separator/>
      </w:r>
    </w:p>
  </w:endnote>
  <w:endnote w:type="continuationSeparator" w:id="0">
    <w:p w14:paraId="012C912B" w14:textId="77777777" w:rsidR="000C3553" w:rsidRDefault="000C3553" w:rsidP="00F55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4018"/>
      <w:docPartObj>
        <w:docPartGallery w:val="Page Numbers (Bottom of Page)"/>
        <w:docPartUnique/>
      </w:docPartObj>
    </w:sdtPr>
    <w:sdtEndPr>
      <w:rPr>
        <w:color w:val="7F7F7F" w:themeColor="background1" w:themeShade="7F"/>
        <w:spacing w:val="60"/>
      </w:rPr>
    </w:sdtEndPr>
    <w:sdtContent>
      <w:p w14:paraId="17321413" w14:textId="77777777" w:rsidR="00F5513F" w:rsidRDefault="00F5513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5513F">
          <w:rPr>
            <w:b/>
            <w:bCs/>
            <w:noProof/>
          </w:rPr>
          <w:t>1</w:t>
        </w:r>
        <w:r>
          <w:rPr>
            <w:b/>
            <w:bCs/>
            <w:noProof/>
          </w:rPr>
          <w:fldChar w:fldCharType="end"/>
        </w:r>
        <w:r>
          <w:rPr>
            <w:b/>
            <w:bCs/>
          </w:rPr>
          <w:t xml:space="preserve"> | </w:t>
        </w:r>
        <w:r>
          <w:rPr>
            <w:color w:val="7F7F7F" w:themeColor="background1" w:themeShade="7F"/>
            <w:spacing w:val="60"/>
          </w:rPr>
          <w:t>Page</w:t>
        </w:r>
      </w:p>
    </w:sdtContent>
  </w:sdt>
  <w:p w14:paraId="7738E31B" w14:textId="77777777" w:rsidR="00F5513F" w:rsidRDefault="00F55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EC59" w14:textId="77777777" w:rsidR="000C3553" w:rsidRDefault="000C3553" w:rsidP="00F5513F">
      <w:pPr>
        <w:spacing w:after="0" w:line="240" w:lineRule="auto"/>
      </w:pPr>
      <w:r>
        <w:separator/>
      </w:r>
    </w:p>
  </w:footnote>
  <w:footnote w:type="continuationSeparator" w:id="0">
    <w:p w14:paraId="71FF8C5D" w14:textId="77777777" w:rsidR="000C3553" w:rsidRDefault="000C3553" w:rsidP="00F55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037359">
    <w:abstractNumId w:val="8"/>
  </w:num>
  <w:num w:numId="2" w16cid:durableId="922763032">
    <w:abstractNumId w:val="6"/>
  </w:num>
  <w:num w:numId="3" w16cid:durableId="220214908">
    <w:abstractNumId w:val="5"/>
  </w:num>
  <w:num w:numId="4" w16cid:durableId="2011251195">
    <w:abstractNumId w:val="4"/>
  </w:num>
  <w:num w:numId="5" w16cid:durableId="1329940693">
    <w:abstractNumId w:val="7"/>
  </w:num>
  <w:num w:numId="6" w16cid:durableId="785124674">
    <w:abstractNumId w:val="3"/>
  </w:num>
  <w:num w:numId="7" w16cid:durableId="1550872151">
    <w:abstractNumId w:val="2"/>
  </w:num>
  <w:num w:numId="8" w16cid:durableId="2094668692">
    <w:abstractNumId w:val="1"/>
  </w:num>
  <w:num w:numId="9" w16cid:durableId="198928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553"/>
    <w:rsid w:val="0015074B"/>
    <w:rsid w:val="001602A6"/>
    <w:rsid w:val="0029639D"/>
    <w:rsid w:val="00326F90"/>
    <w:rsid w:val="00472524"/>
    <w:rsid w:val="004C377D"/>
    <w:rsid w:val="00634A40"/>
    <w:rsid w:val="008561E4"/>
    <w:rsid w:val="00AA1D8D"/>
    <w:rsid w:val="00B47730"/>
    <w:rsid w:val="00CB0664"/>
    <w:rsid w:val="00D83D5F"/>
    <w:rsid w:val="00F55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FC74A"/>
  <w14:defaultImageDpi w14:val="300"/>
  <w15:docId w15:val="{EF9F3C5D-C222-4245-9A73-9F3CBCF7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51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0669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16E83A-EBCF-48C8-BD5A-A4456B7FD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Betty Amamukirori</cp:lastModifiedBy>
  <cp:revision>2</cp:revision>
  <dcterms:created xsi:type="dcterms:W3CDTF">2026-08-14T12:11:00Z</dcterms:created>
  <dcterms:modified xsi:type="dcterms:W3CDTF">2026-08-14T12:11:00Z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783498cb-f3d0-4548-acf1-0b48e24f2db9</vt:lpwstr>
  </property>
</Properties>
</file>