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6D582" w14:textId="77777777" w:rsidR="00004C58" w:rsidRDefault="00A73346">
      <w:pPr>
        <w:jc w:val="center"/>
      </w:pPr>
      <w:r>
        <w:rPr>
          <w:b/>
          <w:sz w:val="36"/>
        </w:rPr>
        <w:t>NOVA COLLABORATIVE</w:t>
      </w:r>
    </w:p>
    <w:p w14:paraId="3B49B8D7" w14:textId="77777777" w:rsidR="00004C58" w:rsidRDefault="00A73346">
      <w:pPr>
        <w:jc w:val="center"/>
      </w:pPr>
      <w:r>
        <w:rPr>
          <w:b/>
          <w:sz w:val="28"/>
        </w:rPr>
        <w:t>Gig Worker Contract Safety Tracker</w:t>
      </w:r>
    </w:p>
    <w:p w14:paraId="1644D711" w14:textId="77777777" w:rsidR="00004C58" w:rsidRDefault="00A73346">
      <w:pPr>
        <w:jc w:val="center"/>
      </w:pPr>
      <w:r>
        <w:rPr>
          <w:b/>
          <w:sz w:val="32"/>
        </w:rPr>
        <w:t>COMPREHENSIVE PROBLEM STATEMENT &amp; KPI FRAMEWORK</w:t>
      </w:r>
    </w:p>
    <w:p w14:paraId="69FB5B2C" w14:textId="77777777" w:rsidR="00004C58" w:rsidRDefault="00A73346">
      <w:pPr>
        <w:jc w:val="center"/>
      </w:pPr>
      <w:r>
        <w:rPr>
          <w:i/>
        </w:rPr>
        <w:t>Evidence-based and fully referenced edition — 13 August 2026</w:t>
      </w:r>
    </w:p>
    <w:p w14:paraId="6AE5A96F" w14:textId="77777777" w:rsidR="00004C58" w:rsidRDefault="00A73346">
      <w:pPr>
        <w:pStyle w:val="Heading1"/>
      </w:pPr>
      <w:r>
        <w:t>1. Purpose and Evidence Standard</w:t>
      </w:r>
    </w:p>
    <w:p w14:paraId="07A1EA3C" w14:textId="77777777" w:rsidR="00004C58" w:rsidRDefault="00A73346">
      <w:pPr>
        <w:spacing w:after="120"/>
      </w:pPr>
      <w:r>
        <w:t>This document consolidates the problem statement and KPI framework for the Gig Worker Contract Safety Tracker. It uses the Nova Collaborative project documents as the primary project source and independently verified external sources where external research is cited. The document distinguishes research evidence, project targets, qualitative findings and metrics that still require a pilot baseline.</w:t>
      </w:r>
    </w:p>
    <w:p w14:paraId="69A3AA47" w14:textId="77777777" w:rsidR="00004C58" w:rsidRDefault="00A73346">
      <w:pPr>
        <w:spacing w:after="120"/>
      </w:pPr>
      <w:r>
        <w:t>No unsupported statistic is presented as a verified fact. In particular, the 51% figure is retained only as a secondary, directional reference because the project's KPI Framework explicitly identifies it as not academic-grade. Retention, payment recovery rate and revenue protected are treated as metrics requiring pilot or primary-data benchmarking rather than invented baselines.</w:t>
      </w:r>
    </w:p>
    <w:p w14:paraId="46C8659F" w14:textId="77777777" w:rsidR="00004C58" w:rsidRDefault="00A73346">
      <w:pPr>
        <w:pStyle w:val="Heading1"/>
      </w:pPr>
      <w:r>
        <w:t>2. Comprehensive Problem Statement</w:t>
      </w:r>
    </w:p>
    <w:p w14:paraId="10EF59F5" w14:textId="77777777" w:rsidR="00004C58" w:rsidRDefault="00A73346">
      <w:pPr>
        <w:spacing w:after="120"/>
      </w:pPr>
      <w:r>
        <w:t>Freelancers and independent contractors need a reliable way to protect the records that underpin payment for their work. The approved Project Charter describes the Gig Worker Contract Safety Tracker as a platform for securely managing contracts, invoices, payment milestones and project records, with objectives that include reducing wage theft, improving payment visibility and providing documentation for dispute resolution. [1]</w:t>
      </w:r>
    </w:p>
    <w:p w14:paraId="495AD3A3" w14:textId="77777777" w:rsidR="00004C58" w:rsidRDefault="00A73346">
      <w:pPr>
        <w:spacing w:after="120"/>
      </w:pPr>
      <w:r>
        <w:t>The Charter identifies a specific operational gap: independent freelancers lack a centralized system to securely store contracts, track invoice payments, monitor project milestones, record contract revisions and generate evidence during payment disputes. It states that this fragmentation leaves freelancers vulnerable to non-payment and excessive administrative work. [1]</w:t>
      </w:r>
    </w:p>
    <w:p w14:paraId="3C75E091" w14:textId="77777777" w:rsidR="00004C58" w:rsidRDefault="00A73346">
      <w:pPr>
        <w:spacing w:after="120"/>
      </w:pPr>
      <w:r>
        <w:t>The problem is supported by verified external research. A 2022 survey conducted by Freelancers Union and partner professional organizations found that 62% of freelance workers based in New York had lost wages at least once in their career because of an employer's refusal to pay. The same survey found that 91% had experienced late or overdue wages at least once, 54% experienced delays of three months or longer, 79% attempted to recover lost wages through their own demands, and 39% said nonpayment or overdue payment affected their ability to pay bills or rent. [2]</w:t>
      </w:r>
    </w:p>
    <w:p w14:paraId="1134F80A" w14:textId="77777777" w:rsidR="00004C58" w:rsidRDefault="00A73346">
      <w:pPr>
        <w:spacing w:after="120"/>
      </w:pPr>
      <w:r>
        <w:t>A separate 2025 PYMNTS Money Mobility Tracker reported that approximately 85% of freelancers experienced late payments occasionally or regularly and that 29% of gig invoices were paid at least one day late. The report is a global/external benchmark and should not be represented as a Nigeria-specific baseline. [3]</w:t>
      </w:r>
    </w:p>
    <w:p w14:paraId="381C578C" w14:textId="77777777" w:rsidR="00004C58" w:rsidRDefault="00A73346">
      <w:pPr>
        <w:spacing w:after="120"/>
      </w:pPr>
      <w:r>
        <w:t>Within the project's own research framework, 87.3% of employed Nigerians are identified as self-employed, based on the Nigerian Bureau of Statistics Q3 2023 source cited in the project's KPI Framework. This is a contextual indicator of the size of the self-employment population; it is not a measure of freelancers' nonpayment incidence. [4]</w:t>
      </w:r>
    </w:p>
    <w:p w14:paraId="32576D60" w14:textId="77777777" w:rsidR="00004C58" w:rsidRDefault="00A73346">
      <w:pPr>
        <w:spacing w:after="120"/>
      </w:pPr>
      <w:r>
        <w:t>The core problem, therefore, is not simply that some clients pay late or fail to pay. It is that freelancers may lack a single, secure source of truth connecting the agreement, contract revisions, milestones, invoices, due dates and payment history. This weakens payment visibility, increases administrative effort and can make evidence harder to assemble when a dispute occurs. The proposed product addresses this information and evidence gap; it does not guarantee payment, act as a payment processor or provide legal representation. [1]</w:t>
      </w:r>
    </w:p>
    <w:p w14:paraId="5F0BDBB5" w14:textId="77777777" w:rsidR="00004C58" w:rsidRDefault="00A73346">
      <w:pPr>
        <w:pStyle w:val="Heading1"/>
      </w:pPr>
      <w:r>
        <w:t>3. Evidence and Research Findings</w:t>
      </w:r>
    </w:p>
    <w:tbl>
      <w:tblPr>
        <w:tblStyle w:val="TableGrid"/>
        <w:tblW w:w="0" w:type="auto"/>
        <w:jc w:val="center"/>
        <w:tblLook w:val="04A0" w:firstRow="1" w:lastRow="0" w:firstColumn="1" w:lastColumn="0" w:noHBand="0" w:noVBand="1"/>
      </w:tblPr>
      <w:tblGrid>
        <w:gridCol w:w="2556"/>
        <w:gridCol w:w="2556"/>
        <w:gridCol w:w="2556"/>
        <w:gridCol w:w="2556"/>
      </w:tblGrid>
      <w:tr w:rsidR="00004C58" w14:paraId="659A1BF0" w14:textId="77777777">
        <w:trPr>
          <w:jc w:val="center"/>
        </w:trPr>
        <w:tc>
          <w:tcPr>
            <w:tcW w:w="2556" w:type="dxa"/>
          </w:tcPr>
          <w:p w14:paraId="64F894CE" w14:textId="77777777" w:rsidR="00004C58" w:rsidRDefault="00A73346">
            <w:r>
              <w:t>Source</w:t>
            </w:r>
          </w:p>
        </w:tc>
        <w:tc>
          <w:tcPr>
            <w:tcW w:w="2556" w:type="dxa"/>
          </w:tcPr>
          <w:p w14:paraId="2F718BD0" w14:textId="77777777" w:rsidR="00004C58" w:rsidRDefault="00A73346">
            <w:r>
              <w:t>Verified finding</w:t>
            </w:r>
          </w:p>
        </w:tc>
        <w:tc>
          <w:tcPr>
            <w:tcW w:w="2556" w:type="dxa"/>
          </w:tcPr>
          <w:p w14:paraId="320D7066" w14:textId="77777777" w:rsidR="00004C58" w:rsidRDefault="00A73346">
            <w:r>
              <w:t>Use in this project</w:t>
            </w:r>
          </w:p>
        </w:tc>
        <w:tc>
          <w:tcPr>
            <w:tcW w:w="2556" w:type="dxa"/>
          </w:tcPr>
          <w:p w14:paraId="489DB79F" w14:textId="77777777" w:rsidR="00004C58" w:rsidRDefault="00A73346">
            <w:r>
              <w:t>Limitation</w:t>
            </w:r>
          </w:p>
        </w:tc>
      </w:tr>
      <w:tr w:rsidR="00004C58" w14:paraId="0A115843" w14:textId="77777777">
        <w:trPr>
          <w:jc w:val="center"/>
        </w:trPr>
        <w:tc>
          <w:tcPr>
            <w:tcW w:w="2556" w:type="dxa"/>
          </w:tcPr>
          <w:p w14:paraId="642EA379" w14:textId="77777777" w:rsidR="00004C58" w:rsidRDefault="00A73346">
            <w:r>
              <w:t>Freelancers Union and partner organizations, 2022 [2]</w:t>
            </w:r>
          </w:p>
        </w:tc>
        <w:tc>
          <w:tcPr>
            <w:tcW w:w="2556" w:type="dxa"/>
          </w:tcPr>
          <w:p w14:paraId="6C423843" w14:textId="77777777" w:rsidR="00004C58" w:rsidRDefault="00A73346">
            <w:r>
              <w:t>62% of NY freelance workers surveyed had lost wages at least once due to refusal to pay.</w:t>
            </w:r>
          </w:p>
        </w:tc>
        <w:tc>
          <w:tcPr>
            <w:tcW w:w="2556" w:type="dxa"/>
          </w:tcPr>
          <w:p w14:paraId="43756457" w14:textId="77777777" w:rsidR="00004C58" w:rsidRDefault="00A73346">
            <w:r>
              <w:t>Primary external nonpayment reference.</w:t>
            </w:r>
          </w:p>
        </w:tc>
        <w:tc>
          <w:tcPr>
            <w:tcW w:w="2556" w:type="dxa"/>
          </w:tcPr>
          <w:p w14:paraId="09973D25" w14:textId="77777777" w:rsidR="00004C58" w:rsidRDefault="00A73346">
            <w:r>
              <w:t>New York sample; not Nigeria-specific.</w:t>
            </w:r>
          </w:p>
        </w:tc>
      </w:tr>
      <w:tr w:rsidR="00004C58" w14:paraId="29071E1E" w14:textId="77777777">
        <w:trPr>
          <w:jc w:val="center"/>
        </w:trPr>
        <w:tc>
          <w:tcPr>
            <w:tcW w:w="2556" w:type="dxa"/>
          </w:tcPr>
          <w:p w14:paraId="5673AF12" w14:textId="77777777" w:rsidR="00004C58" w:rsidRDefault="00A73346">
            <w:r>
              <w:t>Freelancers Union and partner organizations, 2022 [2]</w:t>
            </w:r>
          </w:p>
        </w:tc>
        <w:tc>
          <w:tcPr>
            <w:tcW w:w="2556" w:type="dxa"/>
          </w:tcPr>
          <w:p w14:paraId="2F10303D" w14:textId="77777777" w:rsidR="00004C58" w:rsidRDefault="00A73346">
            <w:r>
              <w:t>91% experienced late/overdue wages at least once; 54% reported delays of 3+ months.</w:t>
            </w:r>
          </w:p>
        </w:tc>
        <w:tc>
          <w:tcPr>
            <w:tcW w:w="2556" w:type="dxa"/>
          </w:tcPr>
          <w:p w14:paraId="1B1760D0" w14:textId="77777777" w:rsidR="00004C58" w:rsidRDefault="00A73346">
            <w:r>
              <w:t>Supports severity of payment-delay problem.</w:t>
            </w:r>
          </w:p>
        </w:tc>
        <w:tc>
          <w:tcPr>
            <w:tcW w:w="2556" w:type="dxa"/>
          </w:tcPr>
          <w:p w14:paraId="6AE9DE6E" w14:textId="77777777" w:rsidR="00004C58" w:rsidRDefault="00A73346">
            <w:r>
              <w:t>New York sample; survey is not a Nigeria population estimate.</w:t>
            </w:r>
          </w:p>
        </w:tc>
      </w:tr>
      <w:tr w:rsidR="00004C58" w14:paraId="39A8284F" w14:textId="77777777">
        <w:trPr>
          <w:jc w:val="center"/>
        </w:trPr>
        <w:tc>
          <w:tcPr>
            <w:tcW w:w="2556" w:type="dxa"/>
          </w:tcPr>
          <w:p w14:paraId="111B3DFE" w14:textId="77777777" w:rsidR="00004C58" w:rsidRDefault="00A73346">
            <w:r>
              <w:t>Freelancers Union and partner organizations, 2022 [2]</w:t>
            </w:r>
          </w:p>
        </w:tc>
        <w:tc>
          <w:tcPr>
            <w:tcW w:w="2556" w:type="dxa"/>
          </w:tcPr>
          <w:p w14:paraId="5D25EBA0" w14:textId="77777777" w:rsidR="00004C58" w:rsidRDefault="00A73346">
            <w:r>
              <w:t>79% attempted to recoup lost wages through their own demands; 76% spent 1–2 hours/week trying to recoup payment.</w:t>
            </w:r>
          </w:p>
        </w:tc>
        <w:tc>
          <w:tcPr>
            <w:tcW w:w="2556" w:type="dxa"/>
          </w:tcPr>
          <w:p w14:paraId="12CD355D" w14:textId="77777777" w:rsidR="00004C58" w:rsidRDefault="00A73346">
            <w:r>
              <w:t>Supports administrative/payment-follow-up burden.</w:t>
            </w:r>
          </w:p>
        </w:tc>
        <w:tc>
          <w:tcPr>
            <w:tcW w:w="2556" w:type="dxa"/>
          </w:tcPr>
          <w:p w14:paraId="6584FB43" w14:textId="77777777" w:rsidR="00004C58" w:rsidRDefault="00A73346">
            <w:r>
              <w:t>Self-reported survey result.</w:t>
            </w:r>
          </w:p>
        </w:tc>
      </w:tr>
      <w:tr w:rsidR="00004C58" w14:paraId="2767AA81" w14:textId="77777777">
        <w:trPr>
          <w:jc w:val="center"/>
        </w:trPr>
        <w:tc>
          <w:tcPr>
            <w:tcW w:w="2556" w:type="dxa"/>
          </w:tcPr>
          <w:p w14:paraId="031F38EB" w14:textId="77777777" w:rsidR="00004C58" w:rsidRDefault="00A73346">
            <w:r>
              <w:t>Freelancers Union and partner organizations, 2022 [2]</w:t>
            </w:r>
          </w:p>
        </w:tc>
        <w:tc>
          <w:tcPr>
            <w:tcW w:w="2556" w:type="dxa"/>
          </w:tcPr>
          <w:p w14:paraId="5FD73728" w14:textId="77777777" w:rsidR="00004C58" w:rsidRDefault="00A73346">
            <w:r>
              <w:t>39% said non/overdue payment affected ability to pay bills or rent.</w:t>
            </w:r>
          </w:p>
        </w:tc>
        <w:tc>
          <w:tcPr>
            <w:tcW w:w="2556" w:type="dxa"/>
          </w:tcPr>
          <w:p w14:paraId="5E6BE4AE" w14:textId="77777777" w:rsidR="00004C58" w:rsidRDefault="00A73346">
            <w:r>
              <w:t>Supports financial consequences.</w:t>
            </w:r>
          </w:p>
        </w:tc>
        <w:tc>
          <w:tcPr>
            <w:tcW w:w="2556" w:type="dxa"/>
          </w:tcPr>
          <w:p w14:paraId="6C30CE4F" w14:textId="77777777" w:rsidR="00004C58" w:rsidRDefault="00A73346">
            <w:r>
              <w:t>New York sample.</w:t>
            </w:r>
          </w:p>
        </w:tc>
      </w:tr>
      <w:tr w:rsidR="00004C58" w14:paraId="212B253A" w14:textId="77777777">
        <w:trPr>
          <w:jc w:val="center"/>
        </w:trPr>
        <w:tc>
          <w:tcPr>
            <w:tcW w:w="2556" w:type="dxa"/>
          </w:tcPr>
          <w:p w14:paraId="4F04EFCD" w14:textId="77777777" w:rsidR="00004C58" w:rsidRDefault="00A73346">
            <w:r>
              <w:t>PYMNTS Money Mobility Tracker, August 2025 [3]</w:t>
            </w:r>
          </w:p>
        </w:tc>
        <w:tc>
          <w:tcPr>
            <w:tcW w:w="2556" w:type="dxa"/>
          </w:tcPr>
          <w:p w14:paraId="0B707C9E" w14:textId="77777777" w:rsidR="00004C58" w:rsidRDefault="00A73346">
            <w:r>
              <w:t>Approximately 85% reported late payments occasionally or regularly; 29% of gig invoices were at least one day late.</w:t>
            </w:r>
          </w:p>
        </w:tc>
        <w:tc>
          <w:tcPr>
            <w:tcW w:w="2556" w:type="dxa"/>
          </w:tcPr>
          <w:p w14:paraId="75697783" w14:textId="77777777" w:rsidR="00004C58" w:rsidRDefault="00A73346">
            <w:r>
              <w:t>External benchmark for late-payment problem.</w:t>
            </w:r>
          </w:p>
        </w:tc>
        <w:tc>
          <w:tcPr>
            <w:tcW w:w="2556" w:type="dxa"/>
          </w:tcPr>
          <w:p w14:paraId="6A1ACCAE" w14:textId="77777777" w:rsidR="00004C58" w:rsidRDefault="00A73346">
            <w:r>
              <w:t>Not a Nigeria-specific baseline; use as contextual evidence.</w:t>
            </w:r>
          </w:p>
        </w:tc>
      </w:tr>
      <w:tr w:rsidR="00004C58" w14:paraId="76E126DC" w14:textId="77777777">
        <w:trPr>
          <w:jc w:val="center"/>
        </w:trPr>
        <w:tc>
          <w:tcPr>
            <w:tcW w:w="2556" w:type="dxa"/>
          </w:tcPr>
          <w:p w14:paraId="0F3FD8C5" w14:textId="77777777" w:rsidR="00004C58" w:rsidRDefault="00A73346">
            <w:r>
              <w:t>Nigerian Bureau of Statistics, cited in Nova KPI Framework [4]</w:t>
            </w:r>
          </w:p>
        </w:tc>
        <w:tc>
          <w:tcPr>
            <w:tcW w:w="2556" w:type="dxa"/>
          </w:tcPr>
          <w:p w14:paraId="1F6BC7F9" w14:textId="77777777" w:rsidR="00004C58" w:rsidRDefault="00A73346">
            <w:r>
              <w:t>87.3% of employed Nigerians are identified in the project document as self-employed.</w:t>
            </w:r>
          </w:p>
        </w:tc>
        <w:tc>
          <w:tcPr>
            <w:tcW w:w="2556" w:type="dxa"/>
          </w:tcPr>
          <w:p w14:paraId="04E35D19" w14:textId="77777777" w:rsidR="00004C58" w:rsidRDefault="00A73346">
            <w:r>
              <w:t>Context for the size of the self-employment population.</w:t>
            </w:r>
          </w:p>
        </w:tc>
        <w:tc>
          <w:tcPr>
            <w:tcW w:w="2556" w:type="dxa"/>
          </w:tcPr>
          <w:p w14:paraId="2177400E" w14:textId="77777777" w:rsidR="00004C58" w:rsidRDefault="00A73346">
            <w:r>
              <w:t>Context metric, not freelancer nonpayment incidence.</w:t>
            </w:r>
          </w:p>
        </w:tc>
      </w:tr>
      <w:tr w:rsidR="00004C58" w14:paraId="125062AF" w14:textId="77777777">
        <w:trPr>
          <w:jc w:val="center"/>
        </w:trPr>
        <w:tc>
          <w:tcPr>
            <w:tcW w:w="2556" w:type="dxa"/>
          </w:tcPr>
          <w:p w14:paraId="369CB498" w14:textId="77777777" w:rsidR="00004C58" w:rsidRDefault="00A73346">
            <w:r>
              <w:t>Nova Collaborative KPI Framework [5]</w:t>
            </w:r>
          </w:p>
        </w:tc>
        <w:tc>
          <w:tcPr>
            <w:tcW w:w="2556" w:type="dxa"/>
          </w:tcPr>
          <w:p w14:paraId="34C8E9A3" w14:textId="77777777" w:rsidR="00004C58" w:rsidRDefault="00A73346">
            <w:r>
              <w:t>51% lifetime nonpayment incidence is listed as a secondary industry survey and explicitly flagged as directional, not academic-grade.</w:t>
            </w:r>
          </w:p>
        </w:tc>
        <w:tc>
          <w:tcPr>
            <w:tcW w:w="2556" w:type="dxa"/>
          </w:tcPr>
          <w:p w14:paraId="1AB7D175" w14:textId="77777777" w:rsidR="00004C58" w:rsidRDefault="00A73346">
            <w:r>
              <w:t>Secondary reference only.</w:t>
            </w:r>
          </w:p>
        </w:tc>
        <w:tc>
          <w:tcPr>
            <w:tcW w:w="2556" w:type="dxa"/>
          </w:tcPr>
          <w:p w14:paraId="18EB34AC" w14:textId="77777777" w:rsidR="00004C58" w:rsidRDefault="00A73346">
            <w:r>
              <w:t>Do not treat as equivalent to the 62% primary reference.</w:t>
            </w:r>
          </w:p>
        </w:tc>
      </w:tr>
    </w:tbl>
    <w:p w14:paraId="30E68FE5" w14:textId="77777777" w:rsidR="00004C58" w:rsidRDefault="00A73346">
      <w:pPr>
        <w:pStyle w:val="Heading1"/>
      </w:pPr>
      <w:r>
        <w:t>4. Root Causes Identified in the Project Documents</w:t>
      </w:r>
    </w:p>
    <w:p w14:paraId="182B0023" w14:textId="77777777" w:rsidR="00004C58" w:rsidRDefault="00A73346">
      <w:pPr>
        <w:pStyle w:val="ListBullet"/>
      </w:pPr>
      <w:r>
        <w:t>Fragmented records: contracts, invoices and project information may be spread across spreadsheets, email folders, cloud drives and messaging apps. [1]</w:t>
      </w:r>
    </w:p>
    <w:p w14:paraId="44B0FE2E" w14:textId="77777777" w:rsidR="00004C58" w:rsidRDefault="00A73346">
      <w:pPr>
        <w:pStyle w:val="ListBullet"/>
      </w:pPr>
      <w:r>
        <w:t>Payment visibility: the MVP addresses the inability to see Pending, Paid and Overdue invoices in one place. [1]</w:t>
      </w:r>
    </w:p>
    <w:p w14:paraId="5513FEC8" w14:textId="77777777" w:rsidR="00004C58" w:rsidRDefault="00A73346">
      <w:pPr>
        <w:pStyle w:val="ListBullet"/>
      </w:pPr>
      <w:r>
        <w:t>Contract revision risk: the product preserves contract versions so that changes made after work begins can be traced. [1]</w:t>
      </w:r>
    </w:p>
    <w:p w14:paraId="7B2210D9" w14:textId="77777777" w:rsidR="00004C58" w:rsidRDefault="00A73346">
      <w:pPr>
        <w:pStyle w:val="ListBullet"/>
      </w:pPr>
      <w:r>
        <w:t>Evidence gap: exportable contract and payment history is included to support documentation during disputes. [1]</w:t>
      </w:r>
    </w:p>
    <w:p w14:paraId="64ED5EFF" w14:textId="77777777" w:rsidR="00004C58" w:rsidRDefault="00A73346">
      <w:pPr>
        <w:pStyle w:val="ListBullet"/>
      </w:pPr>
      <w:r>
        <w:t>Manual follow-up: automated due-date reminders are intended to improve payment follow-up before or after invoices become overdue. [1]</w:t>
      </w:r>
    </w:p>
    <w:p w14:paraId="01625ABF" w14:textId="77777777" w:rsidR="00004C58" w:rsidRDefault="00A73346">
      <w:pPr>
        <w:pStyle w:val="Heading1"/>
      </w:pPr>
      <w:r>
        <w:t>5. Consequences of the Problem</w:t>
      </w:r>
    </w:p>
    <w:p w14:paraId="353FF966" w14:textId="77777777" w:rsidR="00004C58" w:rsidRDefault="00A73346">
      <w:pPr>
        <w:pStyle w:val="ListBullet"/>
      </w:pPr>
      <w:r>
        <w:t>Financial: lost or delayed payments can affect cash flow and, in the cited 2022 survey, some respondents reported effects on bills or rent. [2]</w:t>
      </w:r>
    </w:p>
    <w:p w14:paraId="724F97BE" w14:textId="77777777" w:rsidR="00004C58" w:rsidRDefault="00A73346">
      <w:pPr>
        <w:pStyle w:val="ListBullet"/>
      </w:pPr>
      <w:r>
        <w:t>Administrative: the project expects centralized records to reduce time spent organizing contracts and managing invoices. [1]</w:t>
      </w:r>
    </w:p>
    <w:p w14:paraId="727D499F" w14:textId="77777777" w:rsidR="00004C58" w:rsidRDefault="00A73346">
      <w:pPr>
        <w:pStyle w:val="ListBullet"/>
      </w:pPr>
      <w:r>
        <w:t>Contractual: version history is intended to improve proof of agreed scope and reduce disputes. [1]</w:t>
      </w:r>
    </w:p>
    <w:p w14:paraId="4B7E4914" w14:textId="77777777" w:rsidR="00004C58" w:rsidRDefault="00A73346">
      <w:pPr>
        <w:pStyle w:val="ListBullet"/>
      </w:pPr>
      <w:r>
        <w:t>Decision-making: centralized project and payment data can provide visibility into outstanding revenue, monthly earnings and payment collection patterns. [1]</w:t>
      </w:r>
    </w:p>
    <w:p w14:paraId="46C668E5" w14:textId="77777777" w:rsidR="00004C58" w:rsidRDefault="00A73346">
      <w:pPr>
        <w:pStyle w:val="ListBullet"/>
      </w:pPr>
      <w:r>
        <w:t>Trust and confidence: the Charter expects a secure central record to reduce anxiety around missed payments and missing records. [1]</w:t>
      </w:r>
    </w:p>
    <w:p w14:paraId="44B2F0DC" w14:textId="77777777" w:rsidR="00004C58" w:rsidRDefault="00A73346">
      <w:pPr>
        <w:pStyle w:val="Heading1"/>
      </w:pPr>
      <w:r>
        <w:t>6. Product Response</w:t>
      </w:r>
    </w:p>
    <w:p w14:paraId="1FCEEF55" w14:textId="77777777" w:rsidR="00004C58" w:rsidRDefault="00A73346">
      <w:pPr>
        <w:spacing w:after="120"/>
      </w:pPr>
      <w:r>
        <w:t>The approved MVP responds to the problem through:</w:t>
      </w:r>
    </w:p>
    <w:p w14:paraId="60C04753" w14:textId="77777777" w:rsidR="00004C58" w:rsidRDefault="00A73346">
      <w:pPr>
        <w:pStyle w:val="ListBullet"/>
      </w:pPr>
      <w:r>
        <w:t>Secure user registration and authentication</w:t>
      </w:r>
    </w:p>
    <w:p w14:paraId="4B7D24E0" w14:textId="77777777" w:rsidR="00004C58" w:rsidRDefault="00A73346">
      <w:pPr>
        <w:pStyle w:val="ListBullet"/>
      </w:pPr>
      <w:r>
        <w:t>Contract upload and secure storage</w:t>
      </w:r>
    </w:p>
    <w:p w14:paraId="1AFC8A88" w14:textId="77777777" w:rsidR="00004C58" w:rsidRDefault="00A73346">
      <w:pPr>
        <w:pStyle w:val="ListBullet"/>
      </w:pPr>
      <w:r>
        <w:t>Contract version history</w:t>
      </w:r>
    </w:p>
    <w:p w14:paraId="655B3F1F" w14:textId="77777777" w:rsidR="00004C58" w:rsidRDefault="00A73346">
      <w:pPr>
        <w:pStyle w:val="ListBullet"/>
      </w:pPr>
      <w:r>
        <w:t>Invoice creation linked to contracts</w:t>
      </w:r>
    </w:p>
    <w:p w14:paraId="78917F8B" w14:textId="77777777" w:rsidR="00004C58" w:rsidRDefault="00A73346">
      <w:pPr>
        <w:pStyle w:val="ListBullet"/>
      </w:pPr>
      <w:r>
        <w:t>Pending / Paid / Overdue payment-status dashboard</w:t>
      </w:r>
    </w:p>
    <w:p w14:paraId="00D6FE4C" w14:textId="77777777" w:rsidR="00004C58" w:rsidRDefault="00A73346">
      <w:pPr>
        <w:pStyle w:val="ListBullet"/>
      </w:pPr>
      <w:r>
        <w:t>Milestone tracking</w:t>
      </w:r>
    </w:p>
    <w:p w14:paraId="52E65465" w14:textId="77777777" w:rsidR="00004C58" w:rsidRDefault="00A73346">
      <w:pPr>
        <w:pStyle w:val="ListBullet"/>
      </w:pPr>
      <w:r>
        <w:t>Due-date reminder notifications</w:t>
      </w:r>
    </w:p>
    <w:p w14:paraId="694075AA" w14:textId="77777777" w:rsidR="00004C58" w:rsidRDefault="00A73346">
      <w:pPr>
        <w:pStyle w:val="ListBullet"/>
      </w:pPr>
      <w:r>
        <w:t>Exportable contract and payment history</w:t>
      </w:r>
    </w:p>
    <w:p w14:paraId="68EEF14B" w14:textId="77777777" w:rsidR="00004C58" w:rsidRDefault="00A73346">
      <w:pPr>
        <w:pStyle w:val="ListBullet"/>
      </w:pPr>
      <w:r>
        <w:t>Responsive web application and user testing</w:t>
      </w:r>
    </w:p>
    <w:p w14:paraId="31ABB1B9" w14:textId="77777777" w:rsidR="00004C58" w:rsidRDefault="00A73346">
      <w:pPr>
        <w:spacing w:after="120"/>
      </w:pPr>
      <w:r>
        <w:t>These are documented MVP deliverables in the Project Charter. [1]</w:t>
      </w:r>
    </w:p>
    <w:p w14:paraId="22CDDA21" w14:textId="77777777" w:rsidR="00004C58" w:rsidRDefault="00A73346">
      <w:pPr>
        <w:pStyle w:val="Heading1"/>
      </w:pPr>
      <w:r>
        <w:t>7. North Star KPI</w:t>
      </w:r>
    </w:p>
    <w:p w14:paraId="4E35E83F" w14:textId="77777777" w:rsidR="00004C58" w:rsidRDefault="00A73346">
      <w:pPr>
        <w:spacing w:after="120"/>
      </w:pPr>
      <w:r>
        <w:t>North Star Metric: % Reduction in Nonpayment/Wage Theft Incidence among active users. The project's KPI Framework selects this metric because it is intended to measure the outcome the product is designed to address rather than activity such as downloads or revenue. The Framework proposes comparing active users' self-reported nonpayment incidence over a defined period with the documented 62% primary reference and 51% secondary directional reference. It also records the limitation that the measure relies on self-reporting. [5]</w:t>
      </w:r>
    </w:p>
    <w:p w14:paraId="051BA4F0" w14:textId="77777777" w:rsidR="00004C58" w:rsidRDefault="00A73346">
      <w:pPr>
        <w:spacing w:after="120"/>
      </w:pPr>
      <w:r>
        <w:t>Formula: (Baseline incidence − observed active-user incidence) ÷ baseline incidence × 100.</w:t>
      </w:r>
    </w:p>
    <w:p w14:paraId="10933BD2" w14:textId="77777777" w:rsidR="00004C58" w:rsidRDefault="00A73346">
      <w:pPr>
        <w:spacing w:after="120"/>
      </w:pPr>
      <w:r>
        <w:t>Measurement note: the 62% and 51% figures should remain separately labeled. The 62% figure is the stronger externally verified reference used by the project; the 51% figure is explicitly directional in the project's own KPI Framework. [2] [5]</w:t>
      </w:r>
    </w:p>
    <w:p w14:paraId="7B6A9657" w14:textId="77777777" w:rsidR="00004C58" w:rsidRDefault="00A73346">
      <w:pPr>
        <w:pStyle w:val="Heading1"/>
      </w:pPr>
      <w:r>
        <w:t>8. KPI Scorecard</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004C58" w14:paraId="17A7F3A5" w14:textId="77777777">
        <w:trPr>
          <w:jc w:val="center"/>
        </w:trPr>
        <w:tc>
          <w:tcPr>
            <w:tcW w:w="2045" w:type="dxa"/>
          </w:tcPr>
          <w:p w14:paraId="43168A81" w14:textId="77777777" w:rsidR="00004C58" w:rsidRDefault="00A73346">
            <w:r>
              <w:t>KPI</w:t>
            </w:r>
          </w:p>
        </w:tc>
        <w:tc>
          <w:tcPr>
            <w:tcW w:w="2045" w:type="dxa"/>
          </w:tcPr>
          <w:p w14:paraId="52CC5D4A" w14:textId="77777777" w:rsidR="00004C58" w:rsidRDefault="00A73346">
            <w:r>
              <w:t>Definition</w:t>
            </w:r>
          </w:p>
        </w:tc>
        <w:tc>
          <w:tcPr>
            <w:tcW w:w="2045" w:type="dxa"/>
          </w:tcPr>
          <w:p w14:paraId="0523C557" w14:textId="77777777" w:rsidR="00004C58" w:rsidRDefault="00A73346">
            <w:r>
              <w:t>Baseline / Reference</w:t>
            </w:r>
          </w:p>
        </w:tc>
        <w:tc>
          <w:tcPr>
            <w:tcW w:w="2045" w:type="dxa"/>
          </w:tcPr>
          <w:p w14:paraId="48564BD5" w14:textId="77777777" w:rsidR="00004C58" w:rsidRDefault="00A73346">
            <w:r>
              <w:t>Target or Status</w:t>
            </w:r>
          </w:p>
        </w:tc>
        <w:tc>
          <w:tcPr>
            <w:tcW w:w="2045" w:type="dxa"/>
          </w:tcPr>
          <w:p w14:paraId="31A8112F" w14:textId="77777777" w:rsidR="00004C58" w:rsidRDefault="00A73346">
            <w:r>
              <w:t>Source</w:t>
            </w:r>
          </w:p>
        </w:tc>
      </w:tr>
      <w:tr w:rsidR="00004C58" w14:paraId="139DA9B3" w14:textId="77777777">
        <w:trPr>
          <w:jc w:val="center"/>
        </w:trPr>
        <w:tc>
          <w:tcPr>
            <w:tcW w:w="2045" w:type="dxa"/>
          </w:tcPr>
          <w:p w14:paraId="213AC3EE" w14:textId="77777777" w:rsidR="00004C58" w:rsidRDefault="00A73346">
            <w:r>
              <w:t>Nonpayment / wage-theft incidence</w:t>
            </w:r>
          </w:p>
        </w:tc>
        <w:tc>
          <w:tcPr>
            <w:tcW w:w="2045" w:type="dxa"/>
          </w:tcPr>
          <w:p w14:paraId="667B43C5" w14:textId="77777777" w:rsidR="00004C58" w:rsidRDefault="00A73346">
            <w:r>
              <w:t>% of active users reporting nonpayment over a defined period</w:t>
            </w:r>
          </w:p>
        </w:tc>
        <w:tc>
          <w:tcPr>
            <w:tcW w:w="2045" w:type="dxa"/>
          </w:tcPr>
          <w:p w14:paraId="21E3D341" w14:textId="77777777" w:rsidR="00004C58" w:rsidRDefault="00A73346">
            <w:r>
              <w:t>62% lifetime incidence; 51% secondary directional reference</w:t>
            </w:r>
          </w:p>
        </w:tc>
        <w:tc>
          <w:tcPr>
            <w:tcW w:w="2045" w:type="dxa"/>
          </w:tcPr>
          <w:p w14:paraId="3C2C33AA" w14:textId="77777777" w:rsidR="00004C58" w:rsidRDefault="00A73346">
            <w:r>
              <w:t>Measurable downward trend; no unsupported target %</w:t>
            </w:r>
          </w:p>
        </w:tc>
        <w:tc>
          <w:tcPr>
            <w:tcW w:w="2045" w:type="dxa"/>
          </w:tcPr>
          <w:p w14:paraId="06C6CC70" w14:textId="77777777" w:rsidR="00004C58" w:rsidRDefault="00A73346">
            <w:r>
              <w:t>[2], [5]</w:t>
            </w:r>
          </w:p>
        </w:tc>
      </w:tr>
      <w:tr w:rsidR="00004C58" w14:paraId="28A2A87E" w14:textId="77777777">
        <w:trPr>
          <w:jc w:val="center"/>
        </w:trPr>
        <w:tc>
          <w:tcPr>
            <w:tcW w:w="2045" w:type="dxa"/>
          </w:tcPr>
          <w:p w14:paraId="2283F6AB" w14:textId="77777777" w:rsidR="00004C58" w:rsidRDefault="00A73346">
            <w:r>
              <w:t>Late/overdue wage experience</w:t>
            </w:r>
          </w:p>
        </w:tc>
        <w:tc>
          <w:tcPr>
            <w:tcW w:w="2045" w:type="dxa"/>
          </w:tcPr>
          <w:p w14:paraId="3B9AD244" w14:textId="77777777" w:rsidR="00004C58" w:rsidRDefault="00A73346">
            <w:r>
              <w:t>% reporting late or overdue wages at least once</w:t>
            </w:r>
          </w:p>
        </w:tc>
        <w:tc>
          <w:tcPr>
            <w:tcW w:w="2045" w:type="dxa"/>
          </w:tcPr>
          <w:p w14:paraId="3D8153DE" w14:textId="77777777" w:rsidR="00004C58" w:rsidRDefault="00A73346">
            <w:r>
              <w:t>91% in 2022 NY freelancer survey</w:t>
            </w:r>
          </w:p>
        </w:tc>
        <w:tc>
          <w:tcPr>
            <w:tcW w:w="2045" w:type="dxa"/>
          </w:tcPr>
          <w:p w14:paraId="257B4B55" w14:textId="77777777" w:rsidR="00004C58" w:rsidRDefault="00A73346">
            <w:r>
              <w:t>External benchmark, not Nigeria target</w:t>
            </w:r>
          </w:p>
        </w:tc>
        <w:tc>
          <w:tcPr>
            <w:tcW w:w="2045" w:type="dxa"/>
          </w:tcPr>
          <w:p w14:paraId="0605D400" w14:textId="77777777" w:rsidR="00004C58" w:rsidRDefault="00A73346">
            <w:r>
              <w:t>[2]</w:t>
            </w:r>
          </w:p>
        </w:tc>
      </w:tr>
      <w:tr w:rsidR="00004C58" w14:paraId="0B2086D1" w14:textId="77777777">
        <w:trPr>
          <w:jc w:val="center"/>
        </w:trPr>
        <w:tc>
          <w:tcPr>
            <w:tcW w:w="2045" w:type="dxa"/>
          </w:tcPr>
          <w:p w14:paraId="0326AEDD" w14:textId="77777777" w:rsidR="00004C58" w:rsidRDefault="00A73346">
            <w:r>
              <w:t>Invoice lateness</w:t>
            </w:r>
          </w:p>
        </w:tc>
        <w:tc>
          <w:tcPr>
            <w:tcW w:w="2045" w:type="dxa"/>
          </w:tcPr>
          <w:p w14:paraId="7E0EF387" w14:textId="77777777" w:rsidR="00004C58" w:rsidRDefault="00A73346">
            <w:r>
              <w:t>% of gig/freelance invoices paid late</w:t>
            </w:r>
          </w:p>
        </w:tc>
        <w:tc>
          <w:tcPr>
            <w:tcW w:w="2045" w:type="dxa"/>
          </w:tcPr>
          <w:p w14:paraId="1EA1786F" w14:textId="77777777" w:rsidR="00004C58" w:rsidRDefault="00A73346">
            <w:r>
              <w:t>29% at least one day late; PYMNTS also reports ~85% experiencing late payments occasionally/regularly</w:t>
            </w:r>
          </w:p>
        </w:tc>
        <w:tc>
          <w:tcPr>
            <w:tcW w:w="2045" w:type="dxa"/>
          </w:tcPr>
          <w:p w14:paraId="3396046E" w14:textId="77777777" w:rsidR="00004C58" w:rsidRDefault="00A73346">
            <w:r>
              <w:t>External benchmark, not product target</w:t>
            </w:r>
          </w:p>
        </w:tc>
        <w:tc>
          <w:tcPr>
            <w:tcW w:w="2045" w:type="dxa"/>
          </w:tcPr>
          <w:p w14:paraId="1D34BC17" w14:textId="77777777" w:rsidR="00004C58" w:rsidRDefault="00A73346">
            <w:r>
              <w:t>[3]</w:t>
            </w:r>
          </w:p>
        </w:tc>
      </w:tr>
      <w:tr w:rsidR="00004C58" w14:paraId="2022B180" w14:textId="77777777">
        <w:trPr>
          <w:jc w:val="center"/>
        </w:trPr>
        <w:tc>
          <w:tcPr>
            <w:tcW w:w="2045" w:type="dxa"/>
          </w:tcPr>
          <w:p w14:paraId="79E0A5D6" w14:textId="77777777" w:rsidR="00004C58" w:rsidRDefault="00A73346">
            <w:r>
              <w:t>Registered freelancers</w:t>
            </w:r>
          </w:p>
        </w:tc>
        <w:tc>
          <w:tcPr>
            <w:tcW w:w="2045" w:type="dxa"/>
          </w:tcPr>
          <w:p w14:paraId="3A46FF80" w14:textId="77777777" w:rsidR="00004C58" w:rsidRDefault="00A73346">
            <w:r>
              <w:t>Number of registered users</w:t>
            </w:r>
          </w:p>
        </w:tc>
        <w:tc>
          <w:tcPr>
            <w:tcW w:w="2045" w:type="dxa"/>
          </w:tcPr>
          <w:p w14:paraId="50C4959C" w14:textId="77777777" w:rsidR="00004C58" w:rsidRDefault="00A73346">
            <w:r>
              <w:t>No research baseline required</w:t>
            </w:r>
          </w:p>
        </w:tc>
        <w:tc>
          <w:tcPr>
            <w:tcW w:w="2045" w:type="dxa"/>
          </w:tcPr>
          <w:p w14:paraId="20AC5FC9" w14:textId="77777777" w:rsidR="00004C58" w:rsidRDefault="00A73346">
            <w:r>
              <w:t>500+ within first six months</w:t>
            </w:r>
          </w:p>
        </w:tc>
        <w:tc>
          <w:tcPr>
            <w:tcW w:w="2045" w:type="dxa"/>
          </w:tcPr>
          <w:p w14:paraId="0FE35AE5" w14:textId="77777777" w:rsidR="00004C58" w:rsidRDefault="00A73346">
            <w:r>
              <w:t>[1]</w:t>
            </w:r>
          </w:p>
        </w:tc>
      </w:tr>
      <w:tr w:rsidR="00004C58" w14:paraId="01E1044B" w14:textId="77777777">
        <w:trPr>
          <w:jc w:val="center"/>
        </w:trPr>
        <w:tc>
          <w:tcPr>
            <w:tcW w:w="2045" w:type="dxa"/>
          </w:tcPr>
          <w:p w14:paraId="6E0038B7" w14:textId="77777777" w:rsidR="00004C58" w:rsidRDefault="00A73346">
            <w:r>
              <w:t>Contracts uploaded</w:t>
            </w:r>
          </w:p>
        </w:tc>
        <w:tc>
          <w:tcPr>
            <w:tcW w:w="2045" w:type="dxa"/>
          </w:tcPr>
          <w:p w14:paraId="198CADAF" w14:textId="77777777" w:rsidR="00004C58" w:rsidRDefault="00A73346">
            <w:r>
              <w:t>Number of contracts uploaded</w:t>
            </w:r>
          </w:p>
        </w:tc>
        <w:tc>
          <w:tcPr>
            <w:tcW w:w="2045" w:type="dxa"/>
          </w:tcPr>
          <w:p w14:paraId="44EFC6F3" w14:textId="77777777" w:rsidR="00004C58" w:rsidRDefault="00A73346">
            <w:r>
              <w:t>No research baseline</w:t>
            </w:r>
          </w:p>
        </w:tc>
        <w:tc>
          <w:tcPr>
            <w:tcW w:w="2045" w:type="dxa"/>
          </w:tcPr>
          <w:p w14:paraId="3DB030D8" w14:textId="77777777" w:rsidR="00004C58" w:rsidRDefault="00A73346">
            <w:r>
              <w:t>2,000+ within first six months</w:t>
            </w:r>
          </w:p>
        </w:tc>
        <w:tc>
          <w:tcPr>
            <w:tcW w:w="2045" w:type="dxa"/>
          </w:tcPr>
          <w:p w14:paraId="2B4E9CC5" w14:textId="77777777" w:rsidR="00004C58" w:rsidRDefault="00A73346">
            <w:r>
              <w:t>[1]</w:t>
            </w:r>
          </w:p>
        </w:tc>
      </w:tr>
      <w:tr w:rsidR="00004C58" w14:paraId="48EA84FA" w14:textId="77777777">
        <w:trPr>
          <w:jc w:val="center"/>
        </w:trPr>
        <w:tc>
          <w:tcPr>
            <w:tcW w:w="2045" w:type="dxa"/>
          </w:tcPr>
          <w:p w14:paraId="306E52BE" w14:textId="77777777" w:rsidR="00004C58" w:rsidRDefault="00A73346">
            <w:r>
              <w:t>Invoices created</w:t>
            </w:r>
          </w:p>
        </w:tc>
        <w:tc>
          <w:tcPr>
            <w:tcW w:w="2045" w:type="dxa"/>
          </w:tcPr>
          <w:p w14:paraId="1368FDEC" w14:textId="77777777" w:rsidR="00004C58" w:rsidRDefault="00A73346">
            <w:r>
              <w:t>Number of invoices created</w:t>
            </w:r>
          </w:p>
        </w:tc>
        <w:tc>
          <w:tcPr>
            <w:tcW w:w="2045" w:type="dxa"/>
          </w:tcPr>
          <w:p w14:paraId="3DE2085F" w14:textId="77777777" w:rsidR="00004C58" w:rsidRDefault="00A73346">
            <w:r>
              <w:t>No research baseline</w:t>
            </w:r>
          </w:p>
        </w:tc>
        <w:tc>
          <w:tcPr>
            <w:tcW w:w="2045" w:type="dxa"/>
          </w:tcPr>
          <w:p w14:paraId="236802D9" w14:textId="77777777" w:rsidR="00004C58" w:rsidRDefault="00A73346">
            <w:r>
              <w:t>3,000+ within first six months</w:t>
            </w:r>
          </w:p>
        </w:tc>
        <w:tc>
          <w:tcPr>
            <w:tcW w:w="2045" w:type="dxa"/>
          </w:tcPr>
          <w:p w14:paraId="68420C9B" w14:textId="77777777" w:rsidR="00004C58" w:rsidRDefault="00A73346">
            <w:r>
              <w:t>[1]</w:t>
            </w:r>
          </w:p>
        </w:tc>
      </w:tr>
      <w:tr w:rsidR="00004C58" w14:paraId="7A1D86E4" w14:textId="77777777">
        <w:trPr>
          <w:jc w:val="center"/>
        </w:trPr>
        <w:tc>
          <w:tcPr>
            <w:tcW w:w="2045" w:type="dxa"/>
          </w:tcPr>
          <w:p w14:paraId="67FC4F86" w14:textId="77777777" w:rsidR="00004C58" w:rsidRDefault="00A73346">
            <w:r>
              <w:t>Payment reminder delivery rate</w:t>
            </w:r>
          </w:p>
        </w:tc>
        <w:tc>
          <w:tcPr>
            <w:tcW w:w="2045" w:type="dxa"/>
          </w:tcPr>
          <w:p w14:paraId="5583A650" w14:textId="77777777" w:rsidR="00004C58" w:rsidRDefault="00A73346">
            <w:r>
              <w:t>Successful reminder delivery</w:t>
            </w:r>
          </w:p>
        </w:tc>
        <w:tc>
          <w:tcPr>
            <w:tcW w:w="2045" w:type="dxa"/>
          </w:tcPr>
          <w:p w14:paraId="369034B6" w14:textId="77777777" w:rsidR="00004C58" w:rsidRDefault="00A73346">
            <w:r>
              <w:t>No research baseline</w:t>
            </w:r>
          </w:p>
        </w:tc>
        <w:tc>
          <w:tcPr>
            <w:tcW w:w="2045" w:type="dxa"/>
          </w:tcPr>
          <w:p w14:paraId="5543084D" w14:textId="77777777" w:rsidR="00004C58" w:rsidRDefault="00A73346">
            <w:r>
              <w:t>95% within first six months</w:t>
            </w:r>
          </w:p>
        </w:tc>
        <w:tc>
          <w:tcPr>
            <w:tcW w:w="2045" w:type="dxa"/>
          </w:tcPr>
          <w:p w14:paraId="07A2582E" w14:textId="77777777" w:rsidR="00004C58" w:rsidRDefault="00A73346">
            <w:r>
              <w:t>[1]</w:t>
            </w:r>
          </w:p>
        </w:tc>
      </w:tr>
      <w:tr w:rsidR="00004C58" w14:paraId="28C009C8" w14:textId="77777777">
        <w:trPr>
          <w:jc w:val="center"/>
        </w:trPr>
        <w:tc>
          <w:tcPr>
            <w:tcW w:w="2045" w:type="dxa"/>
          </w:tcPr>
          <w:p w14:paraId="59CCE325" w14:textId="77777777" w:rsidR="00004C58" w:rsidRDefault="00A73346">
            <w:r>
              <w:t>Active monthly users</w:t>
            </w:r>
          </w:p>
        </w:tc>
        <w:tc>
          <w:tcPr>
            <w:tcW w:w="2045" w:type="dxa"/>
          </w:tcPr>
          <w:p w14:paraId="2432E81F" w14:textId="77777777" w:rsidR="00004C58" w:rsidRDefault="00A73346">
            <w:r>
              <w:t>Active monthly users as share of registered users</w:t>
            </w:r>
          </w:p>
        </w:tc>
        <w:tc>
          <w:tcPr>
            <w:tcW w:w="2045" w:type="dxa"/>
          </w:tcPr>
          <w:p w14:paraId="4FFFB365" w14:textId="77777777" w:rsidR="00004C58" w:rsidRDefault="00A73346">
            <w:r>
              <w:t>No research baseline</w:t>
            </w:r>
          </w:p>
        </w:tc>
        <w:tc>
          <w:tcPr>
            <w:tcW w:w="2045" w:type="dxa"/>
          </w:tcPr>
          <w:p w14:paraId="1F920422" w14:textId="77777777" w:rsidR="00004C58" w:rsidRDefault="00A73346">
            <w:r>
              <w:t>70% of registered users within first six months</w:t>
            </w:r>
          </w:p>
        </w:tc>
        <w:tc>
          <w:tcPr>
            <w:tcW w:w="2045" w:type="dxa"/>
          </w:tcPr>
          <w:p w14:paraId="3FB5490B" w14:textId="77777777" w:rsidR="00004C58" w:rsidRDefault="00A73346">
            <w:r>
              <w:t>[1]</w:t>
            </w:r>
          </w:p>
        </w:tc>
      </w:tr>
      <w:tr w:rsidR="00004C58" w14:paraId="7108EB56" w14:textId="77777777">
        <w:trPr>
          <w:jc w:val="center"/>
        </w:trPr>
        <w:tc>
          <w:tcPr>
            <w:tcW w:w="2045" w:type="dxa"/>
          </w:tcPr>
          <w:p w14:paraId="6A440EE0" w14:textId="77777777" w:rsidR="00004C58" w:rsidRDefault="00A73346">
            <w:r>
              <w:t>User satisfaction</w:t>
            </w:r>
          </w:p>
        </w:tc>
        <w:tc>
          <w:tcPr>
            <w:tcW w:w="2045" w:type="dxa"/>
          </w:tcPr>
          <w:p w14:paraId="4FFBA3AE" w14:textId="77777777" w:rsidR="00004C58" w:rsidRDefault="00A73346">
            <w:r>
              <w:t>User satisfaction score</w:t>
            </w:r>
          </w:p>
        </w:tc>
        <w:tc>
          <w:tcPr>
            <w:tcW w:w="2045" w:type="dxa"/>
          </w:tcPr>
          <w:p w14:paraId="03C3312B" w14:textId="77777777" w:rsidR="00004C58" w:rsidRDefault="00A73346">
            <w:r>
              <w:t>No research baseline</w:t>
            </w:r>
          </w:p>
        </w:tc>
        <w:tc>
          <w:tcPr>
            <w:tcW w:w="2045" w:type="dxa"/>
          </w:tcPr>
          <w:p w14:paraId="7241E1C2" w14:textId="77777777" w:rsidR="00004C58" w:rsidRDefault="00A73346">
            <w:r>
              <w:t>85% or higher within first six months</w:t>
            </w:r>
          </w:p>
        </w:tc>
        <w:tc>
          <w:tcPr>
            <w:tcW w:w="2045" w:type="dxa"/>
          </w:tcPr>
          <w:p w14:paraId="647ED6F2" w14:textId="77777777" w:rsidR="00004C58" w:rsidRDefault="00A73346">
            <w:r>
              <w:t>[1]</w:t>
            </w:r>
          </w:p>
        </w:tc>
      </w:tr>
      <w:tr w:rsidR="00004C58" w14:paraId="51F12850" w14:textId="77777777">
        <w:trPr>
          <w:jc w:val="center"/>
        </w:trPr>
        <w:tc>
          <w:tcPr>
            <w:tcW w:w="2045" w:type="dxa"/>
          </w:tcPr>
          <w:p w14:paraId="7E3931E2" w14:textId="77777777" w:rsidR="00004C58" w:rsidRDefault="00A73346">
            <w:r>
              <w:t>Invoice tracking accuracy</w:t>
            </w:r>
          </w:p>
        </w:tc>
        <w:tc>
          <w:tcPr>
            <w:tcW w:w="2045" w:type="dxa"/>
          </w:tcPr>
          <w:p w14:paraId="733B9DAA" w14:textId="77777777" w:rsidR="00004C58" w:rsidRDefault="00A73346">
            <w:r>
              <w:t>Accuracy of invoice tracking</w:t>
            </w:r>
          </w:p>
        </w:tc>
        <w:tc>
          <w:tcPr>
            <w:tcW w:w="2045" w:type="dxa"/>
          </w:tcPr>
          <w:p w14:paraId="511C789F" w14:textId="77777777" w:rsidR="00004C58" w:rsidRDefault="00A73346">
            <w:r>
              <w:t>No research baseline</w:t>
            </w:r>
          </w:p>
        </w:tc>
        <w:tc>
          <w:tcPr>
            <w:tcW w:w="2045" w:type="dxa"/>
          </w:tcPr>
          <w:p w14:paraId="4C4C3AF6" w14:textId="77777777" w:rsidR="00004C58" w:rsidRDefault="00A73346">
            <w:r>
              <w:t>99% within first six months</w:t>
            </w:r>
          </w:p>
        </w:tc>
        <w:tc>
          <w:tcPr>
            <w:tcW w:w="2045" w:type="dxa"/>
          </w:tcPr>
          <w:p w14:paraId="237EC8FC" w14:textId="77777777" w:rsidR="00004C58" w:rsidRDefault="00A73346">
            <w:r>
              <w:t>[1]</w:t>
            </w:r>
          </w:p>
        </w:tc>
      </w:tr>
      <w:tr w:rsidR="00004C58" w14:paraId="19BF02FD" w14:textId="77777777">
        <w:trPr>
          <w:jc w:val="center"/>
        </w:trPr>
        <w:tc>
          <w:tcPr>
            <w:tcW w:w="2045" w:type="dxa"/>
          </w:tcPr>
          <w:p w14:paraId="2BA46AD1" w14:textId="77777777" w:rsidR="00004C58" w:rsidRDefault="00A73346">
            <w:r>
              <w:t>Successful export requests</w:t>
            </w:r>
          </w:p>
        </w:tc>
        <w:tc>
          <w:tcPr>
            <w:tcW w:w="2045" w:type="dxa"/>
          </w:tcPr>
          <w:p w14:paraId="5DA2A107" w14:textId="77777777" w:rsidR="00004C58" w:rsidRDefault="00A73346">
            <w:r>
              <w:t>Successful export requests as a share of requests</w:t>
            </w:r>
          </w:p>
        </w:tc>
        <w:tc>
          <w:tcPr>
            <w:tcW w:w="2045" w:type="dxa"/>
          </w:tcPr>
          <w:p w14:paraId="43085FDC" w14:textId="77777777" w:rsidR="00004C58" w:rsidRDefault="00A73346">
            <w:r>
              <w:t>No research baseline</w:t>
            </w:r>
          </w:p>
        </w:tc>
        <w:tc>
          <w:tcPr>
            <w:tcW w:w="2045" w:type="dxa"/>
          </w:tcPr>
          <w:p w14:paraId="33525E5A" w14:textId="77777777" w:rsidR="00004C58" w:rsidRDefault="00A73346">
            <w:r>
              <w:t>95% within first six months</w:t>
            </w:r>
          </w:p>
        </w:tc>
        <w:tc>
          <w:tcPr>
            <w:tcW w:w="2045" w:type="dxa"/>
          </w:tcPr>
          <w:p w14:paraId="79FA7DF4" w14:textId="77777777" w:rsidR="00004C58" w:rsidRDefault="00A73346">
            <w:r>
              <w:t>[1]</w:t>
            </w:r>
          </w:p>
        </w:tc>
      </w:tr>
      <w:tr w:rsidR="00004C58" w14:paraId="37FAC417" w14:textId="77777777">
        <w:trPr>
          <w:jc w:val="center"/>
        </w:trPr>
        <w:tc>
          <w:tcPr>
            <w:tcW w:w="2045" w:type="dxa"/>
          </w:tcPr>
          <w:p w14:paraId="4FE25570" w14:textId="77777777" w:rsidR="00004C58" w:rsidRDefault="00A73346">
            <w:r>
              <w:t>Retention rate</w:t>
            </w:r>
          </w:p>
        </w:tc>
        <w:tc>
          <w:tcPr>
            <w:tcW w:w="2045" w:type="dxa"/>
          </w:tcPr>
          <w:p w14:paraId="38F48600" w14:textId="77777777" w:rsidR="00004C58" w:rsidRDefault="00A73346">
            <w:r>
              <w:t>Users remaining active over a defined period</w:t>
            </w:r>
          </w:p>
        </w:tc>
        <w:tc>
          <w:tcPr>
            <w:tcW w:w="2045" w:type="dxa"/>
          </w:tcPr>
          <w:p w14:paraId="17C57F73" w14:textId="77777777" w:rsidR="00004C58" w:rsidRDefault="00A73346">
            <w:r>
              <w:t>No usage data yet</w:t>
            </w:r>
          </w:p>
        </w:tc>
        <w:tc>
          <w:tcPr>
            <w:tcW w:w="2045" w:type="dxa"/>
          </w:tcPr>
          <w:p w14:paraId="0EB72344" w14:textId="77777777" w:rsidR="00004C58" w:rsidRDefault="00A73346">
            <w:r>
              <w:t>Benchmark during pilot</w:t>
            </w:r>
          </w:p>
        </w:tc>
        <w:tc>
          <w:tcPr>
            <w:tcW w:w="2045" w:type="dxa"/>
          </w:tcPr>
          <w:p w14:paraId="22D09BEE" w14:textId="77777777" w:rsidR="00004C58" w:rsidRDefault="00A73346">
            <w:r>
              <w:t>[5]</w:t>
            </w:r>
          </w:p>
        </w:tc>
      </w:tr>
      <w:tr w:rsidR="00004C58" w14:paraId="788CDB68" w14:textId="77777777">
        <w:trPr>
          <w:jc w:val="center"/>
        </w:trPr>
        <w:tc>
          <w:tcPr>
            <w:tcW w:w="2045" w:type="dxa"/>
          </w:tcPr>
          <w:p w14:paraId="2A417CE6" w14:textId="77777777" w:rsidR="00004C58" w:rsidRDefault="00A73346">
            <w:r>
              <w:t>Payment recovery rate</w:t>
            </w:r>
          </w:p>
        </w:tc>
        <w:tc>
          <w:tcPr>
            <w:tcW w:w="2045" w:type="dxa"/>
          </w:tcPr>
          <w:p w14:paraId="2D615587" w14:textId="77777777" w:rsidR="00004C58" w:rsidRDefault="00A73346">
            <w:r>
              <w:t>Overdue invoices subsequently recovered</w:t>
            </w:r>
          </w:p>
        </w:tc>
        <w:tc>
          <w:tcPr>
            <w:tcW w:w="2045" w:type="dxa"/>
          </w:tcPr>
          <w:p w14:paraId="0A1AEAF2" w14:textId="77777777" w:rsidR="00004C58" w:rsidRDefault="00A73346">
            <w:r>
              <w:t>No research baseline</w:t>
            </w:r>
          </w:p>
        </w:tc>
        <w:tc>
          <w:tcPr>
            <w:tcW w:w="2045" w:type="dxa"/>
          </w:tcPr>
          <w:p w14:paraId="45B403A8" w14:textId="77777777" w:rsidR="00004C58" w:rsidRDefault="00A73346">
            <w:r>
              <w:t>Benchmark during pilot</w:t>
            </w:r>
          </w:p>
        </w:tc>
        <w:tc>
          <w:tcPr>
            <w:tcW w:w="2045" w:type="dxa"/>
          </w:tcPr>
          <w:p w14:paraId="25FD1149" w14:textId="77777777" w:rsidR="00004C58" w:rsidRDefault="00A73346">
            <w:r>
              <w:t>[5]</w:t>
            </w:r>
          </w:p>
        </w:tc>
      </w:tr>
      <w:tr w:rsidR="00004C58" w14:paraId="7EC2CDFC" w14:textId="77777777">
        <w:trPr>
          <w:jc w:val="center"/>
        </w:trPr>
        <w:tc>
          <w:tcPr>
            <w:tcW w:w="2045" w:type="dxa"/>
          </w:tcPr>
          <w:p w14:paraId="4ECA2655" w14:textId="77777777" w:rsidR="00004C58" w:rsidRDefault="00A73346">
            <w:r>
              <w:t>Revenue protected</w:t>
            </w:r>
          </w:p>
        </w:tc>
        <w:tc>
          <w:tcPr>
            <w:tcW w:w="2045" w:type="dxa"/>
          </w:tcPr>
          <w:p w14:paraId="3C2D66F7" w14:textId="77777777" w:rsidR="00004C58" w:rsidRDefault="00A73346">
            <w:r>
              <w:t>Value of payments protected/recovered</w:t>
            </w:r>
          </w:p>
        </w:tc>
        <w:tc>
          <w:tcPr>
            <w:tcW w:w="2045" w:type="dxa"/>
          </w:tcPr>
          <w:p w14:paraId="34D3F4A3" w14:textId="77777777" w:rsidR="00004C58" w:rsidRDefault="00A73346">
            <w:r>
              <w:t>No research baseline</w:t>
            </w:r>
          </w:p>
        </w:tc>
        <w:tc>
          <w:tcPr>
            <w:tcW w:w="2045" w:type="dxa"/>
          </w:tcPr>
          <w:p w14:paraId="425CE210" w14:textId="77777777" w:rsidR="00004C58" w:rsidRDefault="00A73346">
            <w:r>
              <w:t>Benchmark during pilot</w:t>
            </w:r>
          </w:p>
        </w:tc>
        <w:tc>
          <w:tcPr>
            <w:tcW w:w="2045" w:type="dxa"/>
          </w:tcPr>
          <w:p w14:paraId="00595948" w14:textId="77777777" w:rsidR="00004C58" w:rsidRDefault="00A73346">
            <w:r>
              <w:t>[5]</w:t>
            </w:r>
          </w:p>
        </w:tc>
      </w:tr>
    </w:tbl>
    <w:p w14:paraId="12652A8C" w14:textId="77777777" w:rsidR="00004C58" w:rsidRDefault="00A73346">
      <w:pPr>
        <w:pStyle w:val="Heading1"/>
      </w:pPr>
      <w:r>
        <w:t>9. KPI Governance and Measurement Rules</w:t>
      </w:r>
    </w:p>
    <w:p w14:paraId="4E1DF13C" w14:textId="77777777" w:rsidR="00004C58" w:rsidRDefault="00A73346">
      <w:pPr>
        <w:pStyle w:val="ListBullet"/>
      </w:pPr>
      <w:r>
        <w:t>Do not present the 62% survey as a Nigeria-specific prevalence rate. It is a New York freelancer survey. [2]</w:t>
      </w:r>
    </w:p>
    <w:p w14:paraId="6DBC635C" w14:textId="77777777" w:rsidR="00004C58" w:rsidRDefault="00A73346">
      <w:pPr>
        <w:pStyle w:val="ListBullet"/>
      </w:pPr>
      <w:r>
        <w:t>Do not combine the 62% and 51% figures into a single blended baseline. The project's KPI Framework explicitly distinguishes the 51% figure as directional. [5]</w:t>
      </w:r>
    </w:p>
    <w:p w14:paraId="6F3CB515" w14:textId="77777777" w:rsidR="00004C58" w:rsidRDefault="00A73346">
      <w:pPr>
        <w:pStyle w:val="ListBullet"/>
      </w:pPr>
      <w:r>
        <w:t>Do not use the 96.9% financial-app adoption figure as a hard product-adoption target. The KPI Framework describes it as proxy data for broader digital/financial-app usage, not direct evidence of demand for this specific product. [5]</w:t>
      </w:r>
    </w:p>
    <w:p w14:paraId="06FBDFCB" w14:textId="77777777" w:rsidR="00004C58" w:rsidRDefault="00A73346">
      <w:pPr>
        <w:pStyle w:val="ListBullet"/>
      </w:pPr>
      <w:r>
        <w:t>Retention rate, payment recovery rate and revenue protected should be benchmarked using pilot or primary data rather than assigned invented research targets. [5]</w:t>
      </w:r>
    </w:p>
    <w:p w14:paraId="07C51749" w14:textId="77777777" w:rsidR="00004C58" w:rsidRDefault="00A73346">
      <w:pPr>
        <w:pStyle w:val="ListBullet"/>
      </w:pPr>
      <w:r>
        <w:t>The Charter specifies a six-month pilot/evaluation period and identifies adoption, retention, contracts uploaded, invoice tracking usage, reminder engagement, feedback, system reliability and feature adoption for monitoring. [1]</w:t>
      </w:r>
    </w:p>
    <w:p w14:paraId="2F1B0943" w14:textId="77777777" w:rsidR="00004C58" w:rsidRDefault="00A73346">
      <w:pPr>
        <w:pStyle w:val="Heading1"/>
      </w:pPr>
      <w:r>
        <w:t>10. Six-Month MVP Success Metrics</w:t>
      </w:r>
    </w:p>
    <w:p w14:paraId="3B3F1C97" w14:textId="77777777" w:rsidR="00004C58" w:rsidRDefault="00A73346">
      <w:pPr>
        <w:spacing w:after="120"/>
      </w:pPr>
      <w:r>
        <w:t>The approved Charter sets the following operational targets for the first six months after launch: 500+ registered freelancers; 2,000+ contracts uploaded; 3,000+ invoices created; 95% payment-reminder delivery; 70% monthly active users among registered users; 85%+ user satisfaction; 99% invoice tracking accuracy; and 95% successful export requests. These are project success targets, not external research findings. [1]</w:t>
      </w:r>
    </w:p>
    <w:p w14:paraId="7F38B11B" w14:textId="77777777" w:rsidR="00004C58" w:rsidRDefault="00A73346">
      <w:pPr>
        <w:pStyle w:val="Heading1"/>
      </w:pPr>
      <w:r>
        <w:t>11. Reference List</w:t>
      </w:r>
    </w:p>
    <w:p w14:paraId="3CEF5A5C" w14:textId="77777777" w:rsidR="00004C58" w:rsidRDefault="00A73346">
      <w:pPr>
        <w:spacing w:after="120"/>
      </w:pPr>
      <w:r>
        <w:t>[1] Nova Collaborative. &lt;i&gt;Professional Project Charter: Gig Worker Contract Safety Tracker&lt;/i&gt;. Dated 26 July 2026. Project Charter supplied in the project files.</w:t>
      </w:r>
    </w:p>
    <w:p w14:paraId="456A5782" w14:textId="77777777" w:rsidR="00004C58" w:rsidRDefault="00A73346">
      <w:pPr>
        <w:spacing w:after="120"/>
      </w:pPr>
      <w:r>
        <w:t>[2] Freelancers Union and partner organizations. &lt;i&gt;New Survey: 60% of NY freelancers not being paid for work performed&lt;/i&gt;. Freelancers Union, 12 May 2022. https://blog.freelancersunion.org/2022/05/12/over-60-of-ny-freelancers-report-not-being-paid-for-work-performed/</w:t>
      </w:r>
    </w:p>
    <w:p w14:paraId="1BABF922" w14:textId="77777777" w:rsidR="00004C58" w:rsidRDefault="00A73346">
      <w:pPr>
        <w:spacing w:after="120"/>
      </w:pPr>
      <w:r>
        <w:t>[3] PYMNTS / Ingo Money. &lt;i&gt;Money Mobility Tracker Series — August 2025&lt;/i&gt;. 2025. https://ingomoney.com/wp-content/uploads/2025/09/Ingo-Payments-Tracker-August-2025.pdf</w:t>
      </w:r>
    </w:p>
    <w:p w14:paraId="2F815E33" w14:textId="77777777" w:rsidR="00004C58" w:rsidRDefault="00A73346">
      <w:pPr>
        <w:spacing w:after="120"/>
      </w:pPr>
      <w:r>
        <w:t>[4] Nigerian Bureau of Statistics. &lt;i&gt;Nigeria Labour Force Survey&lt;/i&gt; / Q3 2023 reference as cited in the Nova Collaborative KPI Framework. The 87.3% figure is reproduced here as it appears in the project research document; it is not independently re-estimated in this report.</w:t>
      </w:r>
    </w:p>
    <w:p w14:paraId="1107A3FF" w14:textId="77777777" w:rsidR="00004C58" w:rsidRDefault="00A73346">
      <w:pPr>
        <w:spacing w:after="120"/>
      </w:pPr>
      <w:r>
        <w:t>[5] Nova Collaborative. &lt;i&gt;KPI Framework — Grounded in Our Research&lt;/i&gt;. Version 2.1. Project research document supplied in the project files.</w:t>
      </w:r>
    </w:p>
    <w:p w14:paraId="6D2B1C77" w14:textId="77777777" w:rsidR="00004C58" w:rsidRDefault="00A73346">
      <w:pPr>
        <w:pStyle w:val="Heading1"/>
      </w:pPr>
      <w:r>
        <w:t>12. Source Quality Note</w:t>
      </w:r>
    </w:p>
    <w:p w14:paraId="29EFEF3A" w14:textId="77777777" w:rsidR="00004C58" w:rsidRDefault="00A73346">
      <w:pPr>
        <w:spacing w:after="120"/>
      </w:pPr>
      <w:r>
        <w:t>The strongest external quantitative source used for the nonpayment problem is the 2022 survey published by Freelancers Union and partner organizations, with its sample and findings stated explicitly. The PYMNTS report is used as a supplementary external benchmark for late payments. Project-specific targets are sourced from the approved Charter, while the KPI Framework is used to preserve the team's stated distinctions between primary evidence, secondary directional evidence, proxy data and metrics still awaiting a baseline.</w:t>
      </w:r>
    </w:p>
    <w:sectPr w:rsidR="00004C58"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7981793">
    <w:abstractNumId w:val="8"/>
  </w:num>
  <w:num w:numId="2" w16cid:durableId="2126146359">
    <w:abstractNumId w:val="6"/>
  </w:num>
  <w:num w:numId="3" w16cid:durableId="1957171797">
    <w:abstractNumId w:val="5"/>
  </w:num>
  <w:num w:numId="4" w16cid:durableId="248852491">
    <w:abstractNumId w:val="4"/>
  </w:num>
  <w:num w:numId="5" w16cid:durableId="1134711346">
    <w:abstractNumId w:val="7"/>
  </w:num>
  <w:num w:numId="6" w16cid:durableId="2037079160">
    <w:abstractNumId w:val="3"/>
  </w:num>
  <w:num w:numId="7" w16cid:durableId="297078358">
    <w:abstractNumId w:val="2"/>
  </w:num>
  <w:num w:numId="8" w16cid:durableId="346296451">
    <w:abstractNumId w:val="1"/>
  </w:num>
  <w:num w:numId="9" w16cid:durableId="917137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C58"/>
    <w:rsid w:val="00034616"/>
    <w:rsid w:val="0006063C"/>
    <w:rsid w:val="0015074B"/>
    <w:rsid w:val="002126B0"/>
    <w:rsid w:val="0029639D"/>
    <w:rsid w:val="00326F90"/>
    <w:rsid w:val="00695C74"/>
    <w:rsid w:val="009B62AF"/>
    <w:rsid w:val="00A73346"/>
    <w:rsid w:val="00AA1D8D"/>
    <w:rsid w:val="00B47730"/>
    <w:rsid w:val="00CB0664"/>
    <w:rsid w:val="00EE71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B34812"/>
  <w14:defaultImageDpi w14:val="300"/>
  <w15:docId w15:val="{E5AB802F-930E-5E42-85E6-A2874C9FA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1931</Words>
  <Characters>11009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Nazzy Ezenwata</cp:lastModifiedBy>
  <cp:revision>2</cp:revision>
  <dcterms:created xsi:type="dcterms:W3CDTF">2026-08-14T20:20:00Z</dcterms:created>
  <dcterms:modified xsi:type="dcterms:W3CDTF">2026-08-14T20:20:00Z</dcterms:modified>
  <cp:category/>
</cp:coreProperties>
</file>