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8054" w14:textId="77777777" w:rsidR="00C71A8A" w:rsidRDefault="006532F7">
      <w:pPr>
        <w:spacing w:after="80"/>
        <w:jc w:val="center"/>
        <w:rPr>
          <w:rFonts w:ascii="Calibri" w:eastAsia="SimSun" w:hAnsi="Calibri" w:cs="Times New Roman"/>
          <w:sz w:val="21"/>
          <w:szCs w:val="22"/>
        </w:rPr>
      </w:pPr>
      <w:r>
        <w:rPr>
          <w:rFonts w:ascii="Calibri" w:eastAsia="SimSun" w:hAnsi="Calibri" w:cs="Times New Roman"/>
          <w:b/>
          <w:bCs/>
          <w:sz w:val="32"/>
          <w:szCs w:val="32"/>
        </w:rPr>
        <w:t>Identified Security Issues</w:t>
      </w:r>
    </w:p>
    <w:p w14:paraId="0B04F0E3" w14:textId="77777777" w:rsidR="00C71A8A" w:rsidRDefault="006532F7">
      <w:pPr>
        <w:spacing w:after="40"/>
        <w:jc w:val="center"/>
        <w:rPr>
          <w:rFonts w:ascii="Calibri" w:eastAsia="SimSun" w:hAnsi="Calibri" w:cs="Times New Roman"/>
          <w:sz w:val="21"/>
          <w:szCs w:val="22"/>
        </w:rPr>
      </w:pPr>
      <w:r>
        <w:rPr>
          <w:rFonts w:ascii="Calibri" w:eastAsia="SimSun" w:hAnsi="Calibri" w:cs="Times New Roman"/>
          <w:sz w:val="22"/>
          <w:szCs w:val="22"/>
        </w:rPr>
        <w:t>Project: Nova Collaborative — Gig Worker Contract Safety Tracker</w:t>
      </w:r>
    </w:p>
    <w:p w14:paraId="68960242" w14:textId="77777777" w:rsidR="00C71A8A" w:rsidRDefault="00C71A8A">
      <w:pPr>
        <w:pBdr>
          <w:bottom w:val="single" w:sz="6" w:space="1" w:color="AAAAAA"/>
        </w:pBdr>
        <w:spacing w:before="80" w:after="200"/>
        <w:rPr>
          <w:rFonts w:ascii="Calibri" w:eastAsia="SimSun" w:hAnsi="Calibri" w:cs="Times New Roman"/>
          <w:sz w:val="21"/>
          <w:szCs w:val="22"/>
        </w:rPr>
      </w:pPr>
    </w:p>
    <w:p w14:paraId="43C842D5" w14:textId="77777777" w:rsidR="00C71A8A" w:rsidRDefault="006532F7">
      <w:pPr>
        <w:spacing w:after="140"/>
        <w:rPr>
          <w:rFonts w:ascii="Calibri" w:eastAsia="SimSun" w:hAnsi="Calibri" w:cs="Times New Roman"/>
          <w:sz w:val="21"/>
          <w:szCs w:val="22"/>
        </w:rPr>
      </w:pPr>
      <w:r>
        <w:rPr>
          <w:rFonts w:ascii="Calibri" w:eastAsia="SimSun" w:hAnsi="Calibri" w:cs="Times New Roman"/>
          <w:sz w:val="21"/>
          <w:szCs w:val="22"/>
        </w:rPr>
        <w:t>The list below summarises the security issues identified during code review of the current build against the Security Requirements Document (SRD) v2. The reviewed codebase is a Google AI Studio–generated UI prototype (Live Build); it has no backend service, database, or persistent storage, so these issues largely reflect controls not yet implemented rather than defects introduced by development work.</w:t>
      </w:r>
    </w:p>
    <w:p w14:paraId="7791856F" w14:textId="77777777" w:rsidR="00C71A8A" w:rsidRDefault="006532F7">
      <w:pPr>
        <w:spacing w:before="260" w:after="140"/>
        <w:rPr>
          <w:rFonts w:ascii="Calibri" w:eastAsia="SimSun" w:hAnsi="Calibri" w:cs="Times New Roman"/>
          <w:color w:val="2E74B5"/>
          <w:sz w:val="32"/>
          <w:szCs w:val="32"/>
        </w:rPr>
      </w:pPr>
      <w:r>
        <w:rPr>
          <w:rFonts w:ascii="Calibri" w:eastAsia="SimSun" w:hAnsi="Calibri" w:cs="Times New Roman"/>
          <w:b/>
          <w:bCs/>
          <w:color w:val="2E74B5"/>
          <w:sz w:val="32"/>
          <w:szCs w:val="32"/>
        </w:rPr>
        <w:t>Issues List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300"/>
        <w:gridCol w:w="1700"/>
      </w:tblGrid>
      <w:tr w:rsidR="00C71A8A" w14:paraId="41640675" w14:textId="77777777">
        <w:trPr>
          <w:tblHeader/>
        </w:trPr>
        <w:tc>
          <w:tcPr>
            <w:tcW w:w="500" w:type="dxa"/>
            <w:shd w:val="clear" w:color="auto" w:fill="1F3864"/>
            <w:vAlign w:val="center"/>
          </w:tcPr>
          <w:p w14:paraId="22821309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FFFFFF"/>
                <w:sz w:val="21"/>
                <w:szCs w:val="22"/>
              </w:rPr>
              <w:t>#</w:t>
            </w:r>
          </w:p>
        </w:tc>
        <w:tc>
          <w:tcPr>
            <w:tcW w:w="1900" w:type="dxa"/>
            <w:shd w:val="clear" w:color="auto" w:fill="1F3864"/>
            <w:vAlign w:val="center"/>
          </w:tcPr>
          <w:p w14:paraId="743D3035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FFFFFF"/>
                <w:sz w:val="21"/>
                <w:szCs w:val="22"/>
              </w:rPr>
              <w:t>Area</w:t>
            </w:r>
          </w:p>
        </w:tc>
        <w:tc>
          <w:tcPr>
            <w:tcW w:w="4300" w:type="dxa"/>
            <w:shd w:val="clear" w:color="auto" w:fill="1F3864"/>
            <w:vAlign w:val="center"/>
          </w:tcPr>
          <w:p w14:paraId="7B34ACE0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FFFFFF"/>
                <w:sz w:val="21"/>
                <w:szCs w:val="22"/>
              </w:rPr>
              <w:t>Issue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4DD295C2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FFFFFF"/>
                <w:sz w:val="21"/>
                <w:szCs w:val="22"/>
              </w:rPr>
              <w:t>Risk</w:t>
            </w:r>
          </w:p>
        </w:tc>
      </w:tr>
      <w:tr w:rsidR="00C71A8A" w14:paraId="68C2BA53" w14:textId="77777777">
        <w:tc>
          <w:tcPr>
            <w:tcW w:w="500" w:type="dxa"/>
            <w:vAlign w:val="center"/>
          </w:tcPr>
          <w:p w14:paraId="3DCFF119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1</w:t>
            </w:r>
          </w:p>
        </w:tc>
        <w:tc>
          <w:tcPr>
            <w:tcW w:w="1900" w:type="dxa"/>
            <w:vAlign w:val="center"/>
          </w:tcPr>
          <w:p w14:paraId="509E1783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Authentication</w:t>
            </w:r>
          </w:p>
        </w:tc>
        <w:tc>
          <w:tcPr>
            <w:tcW w:w="4300" w:type="dxa"/>
            <w:vAlign w:val="center"/>
          </w:tcPr>
          <w:p w14:paraId="6D8B2DF3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The login form performs no credential validation; any input succeeds. Demo buttons bypass sign-in entirely.</w:t>
            </w:r>
          </w:p>
        </w:tc>
        <w:tc>
          <w:tcPr>
            <w:tcW w:w="1700" w:type="dxa"/>
            <w:vAlign w:val="center"/>
          </w:tcPr>
          <w:p w14:paraId="11138FA3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C00000"/>
                <w:sz w:val="21"/>
                <w:szCs w:val="22"/>
              </w:rPr>
              <w:t>Critical</w:t>
            </w:r>
          </w:p>
        </w:tc>
      </w:tr>
      <w:tr w:rsidR="00C71A8A" w14:paraId="41CD586D" w14:textId="77777777">
        <w:tc>
          <w:tcPr>
            <w:tcW w:w="500" w:type="dxa"/>
            <w:vAlign w:val="center"/>
          </w:tcPr>
          <w:p w14:paraId="71D4BC4B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2</w:t>
            </w:r>
          </w:p>
        </w:tc>
        <w:tc>
          <w:tcPr>
            <w:tcW w:w="1900" w:type="dxa"/>
            <w:vAlign w:val="center"/>
          </w:tcPr>
          <w:p w14:paraId="7FEC0FBC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Multi-Factor Authentication</w:t>
            </w:r>
          </w:p>
        </w:tc>
        <w:tc>
          <w:tcPr>
            <w:tcW w:w="4300" w:type="dxa"/>
            <w:vAlign w:val="center"/>
          </w:tcPr>
          <w:p w14:paraId="293EC0FF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2FA accepts any 6-digit code; correct code is pre-filled in application state.</w:t>
            </w:r>
          </w:p>
        </w:tc>
        <w:tc>
          <w:tcPr>
            <w:tcW w:w="1700" w:type="dxa"/>
            <w:vAlign w:val="center"/>
          </w:tcPr>
          <w:p w14:paraId="607D1D21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C00000"/>
                <w:sz w:val="21"/>
                <w:szCs w:val="22"/>
              </w:rPr>
              <w:t>Critical</w:t>
            </w:r>
          </w:p>
        </w:tc>
      </w:tr>
      <w:tr w:rsidR="00C71A8A" w14:paraId="4A541C25" w14:textId="77777777">
        <w:tc>
          <w:tcPr>
            <w:tcW w:w="500" w:type="dxa"/>
            <w:vAlign w:val="center"/>
          </w:tcPr>
          <w:p w14:paraId="350805F7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3</w:t>
            </w:r>
          </w:p>
        </w:tc>
        <w:tc>
          <w:tcPr>
            <w:tcW w:w="1900" w:type="dxa"/>
            <w:vAlign w:val="center"/>
          </w:tcPr>
          <w:p w14:paraId="0B7DCFA4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Authorisation / RBAC</w:t>
            </w:r>
          </w:p>
        </w:tc>
        <w:tc>
          <w:tcPr>
            <w:tcW w:w="4300" w:type="dxa"/>
            <w:vAlign w:val="center"/>
          </w:tcPr>
          <w:p w14:paraId="20D0D90A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User role is client-side state only; a UI switcher lets any user become Admin with no backend enforcement.</w:t>
            </w:r>
          </w:p>
        </w:tc>
        <w:tc>
          <w:tcPr>
            <w:tcW w:w="1700" w:type="dxa"/>
            <w:vAlign w:val="center"/>
          </w:tcPr>
          <w:p w14:paraId="25628802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C00000"/>
                <w:sz w:val="21"/>
                <w:szCs w:val="22"/>
              </w:rPr>
              <w:t>Critical</w:t>
            </w:r>
          </w:p>
        </w:tc>
      </w:tr>
      <w:tr w:rsidR="00C71A8A" w14:paraId="010F83FF" w14:textId="77777777">
        <w:tc>
          <w:tcPr>
            <w:tcW w:w="500" w:type="dxa"/>
            <w:vAlign w:val="center"/>
          </w:tcPr>
          <w:p w14:paraId="76A4BF7F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4</w:t>
            </w:r>
          </w:p>
        </w:tc>
        <w:tc>
          <w:tcPr>
            <w:tcW w:w="1900" w:type="dxa"/>
            <w:vAlign w:val="center"/>
          </w:tcPr>
          <w:p w14:paraId="5D1C46C0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Contract Storage</w:t>
            </w:r>
          </w:p>
        </w:tc>
        <w:tc>
          <w:tcPr>
            <w:tcW w:w="4300" w:type="dxa"/>
            <w:vAlign w:val="center"/>
          </w:tcPr>
          <w:p w14:paraId="47991B7D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File type checked client-side only; no malware scanning, encryption, timestamping, or version control.</w:t>
            </w:r>
          </w:p>
        </w:tc>
        <w:tc>
          <w:tcPr>
            <w:tcW w:w="1700" w:type="dxa"/>
            <w:vAlign w:val="center"/>
          </w:tcPr>
          <w:p w14:paraId="70FB9B2C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C00000"/>
                <w:sz w:val="21"/>
                <w:szCs w:val="22"/>
              </w:rPr>
              <w:t>Critical</w:t>
            </w:r>
          </w:p>
        </w:tc>
      </w:tr>
      <w:tr w:rsidR="00C71A8A" w14:paraId="63D95B18" w14:textId="77777777">
        <w:tc>
          <w:tcPr>
            <w:tcW w:w="500" w:type="dxa"/>
            <w:vAlign w:val="center"/>
          </w:tcPr>
          <w:p w14:paraId="736B1C8E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5</w:t>
            </w:r>
          </w:p>
        </w:tc>
        <w:tc>
          <w:tcPr>
            <w:tcW w:w="1900" w:type="dxa"/>
            <w:vAlign w:val="center"/>
          </w:tcPr>
          <w:p w14:paraId="4D4EDDC5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Input Validation / App Security</w:t>
            </w:r>
          </w:p>
        </w:tc>
        <w:tc>
          <w:tcPr>
            <w:tcW w:w="4300" w:type="dxa"/>
            <w:vAlign w:val="center"/>
          </w:tcPr>
          <w:p w14:paraId="2ADB5534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No server-side validation, parameterised queries, output encoding, or CSRF protection.</w:t>
            </w:r>
          </w:p>
        </w:tc>
        <w:tc>
          <w:tcPr>
            <w:tcW w:w="1700" w:type="dxa"/>
            <w:vAlign w:val="center"/>
          </w:tcPr>
          <w:p w14:paraId="30055995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C00000"/>
                <w:sz w:val="21"/>
                <w:szCs w:val="22"/>
              </w:rPr>
              <w:t>Critical</w:t>
            </w:r>
          </w:p>
        </w:tc>
      </w:tr>
      <w:tr w:rsidR="00C71A8A" w14:paraId="57259C8C" w14:textId="77777777">
        <w:tc>
          <w:tcPr>
            <w:tcW w:w="500" w:type="dxa"/>
            <w:vAlign w:val="center"/>
          </w:tcPr>
          <w:p w14:paraId="3691A4E1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6</w:t>
            </w:r>
          </w:p>
        </w:tc>
        <w:tc>
          <w:tcPr>
            <w:tcW w:w="1900" w:type="dxa"/>
            <w:vAlign w:val="center"/>
          </w:tcPr>
          <w:p w14:paraId="08A4AC9B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Audit Trail</w:t>
            </w:r>
          </w:p>
        </w:tc>
        <w:tc>
          <w:tcPr>
            <w:tcW w:w="4300" w:type="dxa"/>
            <w:vAlign w:val="center"/>
          </w:tcPr>
          <w:p w14:paraId="7D452CF1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Activity log is in-memory only; lost on refresh; no retention or tamper protection.</w:t>
            </w:r>
          </w:p>
        </w:tc>
        <w:tc>
          <w:tcPr>
            <w:tcW w:w="1700" w:type="dxa"/>
            <w:vAlign w:val="center"/>
          </w:tcPr>
          <w:p w14:paraId="429FF584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C00000"/>
                <w:sz w:val="21"/>
                <w:szCs w:val="22"/>
              </w:rPr>
              <w:t>Critical</w:t>
            </w:r>
          </w:p>
        </w:tc>
      </w:tr>
      <w:tr w:rsidR="00C71A8A" w14:paraId="29EFB970" w14:textId="77777777">
        <w:tc>
          <w:tcPr>
            <w:tcW w:w="500" w:type="dxa"/>
            <w:vAlign w:val="center"/>
          </w:tcPr>
          <w:p w14:paraId="1461FA48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7</w:t>
            </w:r>
          </w:p>
        </w:tc>
        <w:tc>
          <w:tcPr>
            <w:tcW w:w="1900" w:type="dxa"/>
            <w:vAlign w:val="center"/>
          </w:tcPr>
          <w:p w14:paraId="26984F8B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Privacy (NDPA/UK GDPR/DPA 2018)</w:t>
            </w:r>
          </w:p>
        </w:tc>
        <w:tc>
          <w:tcPr>
            <w:tcW w:w="4300" w:type="dxa"/>
            <w:vAlign w:val="center"/>
          </w:tcPr>
          <w:p w14:paraId="3D467183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No data subject rights handling (access, deletion, portability)has been implemented.</w:t>
            </w:r>
          </w:p>
        </w:tc>
        <w:tc>
          <w:tcPr>
            <w:tcW w:w="1700" w:type="dxa"/>
            <w:vAlign w:val="center"/>
          </w:tcPr>
          <w:p w14:paraId="6FACAC39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C00000"/>
                <w:sz w:val="21"/>
                <w:szCs w:val="22"/>
              </w:rPr>
              <w:t>Critical</w:t>
            </w:r>
          </w:p>
        </w:tc>
      </w:tr>
      <w:tr w:rsidR="00C71A8A" w14:paraId="50B36252" w14:textId="77777777">
        <w:tc>
          <w:tcPr>
            <w:tcW w:w="500" w:type="dxa"/>
            <w:vAlign w:val="center"/>
          </w:tcPr>
          <w:p w14:paraId="35A2F593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8</w:t>
            </w:r>
          </w:p>
        </w:tc>
        <w:tc>
          <w:tcPr>
            <w:tcW w:w="1900" w:type="dxa"/>
            <w:vAlign w:val="center"/>
          </w:tcPr>
          <w:p w14:paraId="1E5D0577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Invoice &amp; Payment Integrity</w:t>
            </w:r>
          </w:p>
        </w:tc>
        <w:tc>
          <w:tcPr>
            <w:tcW w:w="4300" w:type="dxa"/>
            <w:vAlign w:val="center"/>
          </w:tcPr>
          <w:p w14:paraId="5ED5D58D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Status transitions exist only as in-memory UI state; no server-side rule enforcement.</w:t>
            </w:r>
          </w:p>
        </w:tc>
        <w:tc>
          <w:tcPr>
            <w:tcW w:w="1700" w:type="dxa"/>
            <w:vAlign w:val="center"/>
          </w:tcPr>
          <w:p w14:paraId="09387B58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E36C0A"/>
                <w:sz w:val="21"/>
                <w:szCs w:val="22"/>
              </w:rPr>
              <w:t>High</w:t>
            </w:r>
          </w:p>
        </w:tc>
      </w:tr>
      <w:tr w:rsidR="00C71A8A" w14:paraId="717C4362" w14:textId="77777777">
        <w:tc>
          <w:tcPr>
            <w:tcW w:w="500" w:type="dxa"/>
            <w:vAlign w:val="center"/>
          </w:tcPr>
          <w:p w14:paraId="214E3AD1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9</w:t>
            </w:r>
          </w:p>
        </w:tc>
        <w:tc>
          <w:tcPr>
            <w:tcW w:w="1900" w:type="dxa"/>
            <w:vAlign w:val="center"/>
          </w:tcPr>
          <w:p w14:paraId="6958E577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Key Management</w:t>
            </w:r>
          </w:p>
        </w:tc>
        <w:tc>
          <w:tcPr>
            <w:tcW w:w="4300" w:type="dxa"/>
            <w:vAlign w:val="center"/>
          </w:tcPr>
          <w:p w14:paraId="76EA07E1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No KMS/HSM integration in place (not yet applicable, but needs early design attention).</w:t>
            </w:r>
          </w:p>
        </w:tc>
        <w:tc>
          <w:tcPr>
            <w:tcW w:w="1700" w:type="dxa"/>
            <w:vAlign w:val="center"/>
          </w:tcPr>
          <w:p w14:paraId="2B799DC7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E36C0A"/>
                <w:sz w:val="21"/>
                <w:szCs w:val="22"/>
              </w:rPr>
              <w:t>High</w:t>
            </w:r>
          </w:p>
        </w:tc>
      </w:tr>
      <w:tr w:rsidR="00C71A8A" w14:paraId="464C187A" w14:textId="77777777">
        <w:tc>
          <w:tcPr>
            <w:tcW w:w="500" w:type="dxa"/>
            <w:vAlign w:val="center"/>
          </w:tcPr>
          <w:p w14:paraId="27616FEE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10</w:t>
            </w:r>
          </w:p>
        </w:tc>
        <w:tc>
          <w:tcPr>
            <w:tcW w:w="1900" w:type="dxa"/>
            <w:vAlign w:val="center"/>
          </w:tcPr>
          <w:p w14:paraId="61E752DC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App &amp; Infrastructure Security</w:t>
            </w:r>
          </w:p>
        </w:tc>
        <w:tc>
          <w:tcPr>
            <w:tcW w:w="4300" w:type="dxa"/>
            <w:vAlign w:val="center"/>
          </w:tcPr>
          <w:p w14:paraId="1A4C142F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No session/cookie security, security headers (CSP/HSTS), or secrets manager.</w:t>
            </w:r>
          </w:p>
        </w:tc>
        <w:tc>
          <w:tcPr>
            <w:tcW w:w="1700" w:type="dxa"/>
            <w:vAlign w:val="center"/>
          </w:tcPr>
          <w:p w14:paraId="02BACE33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E36C0A"/>
                <w:sz w:val="21"/>
                <w:szCs w:val="22"/>
              </w:rPr>
              <w:t>High</w:t>
            </w:r>
          </w:p>
        </w:tc>
      </w:tr>
      <w:tr w:rsidR="00C71A8A" w14:paraId="64D9E3DC" w14:textId="77777777">
        <w:tc>
          <w:tcPr>
            <w:tcW w:w="500" w:type="dxa"/>
            <w:vAlign w:val="center"/>
          </w:tcPr>
          <w:p w14:paraId="75D092BA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11</w:t>
            </w:r>
          </w:p>
        </w:tc>
        <w:tc>
          <w:tcPr>
            <w:tcW w:w="1900" w:type="dxa"/>
            <w:vAlign w:val="center"/>
          </w:tcPr>
          <w:p w14:paraId="2E5F866A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Security Monitoring &amp; Incident Response</w:t>
            </w:r>
          </w:p>
        </w:tc>
        <w:tc>
          <w:tcPr>
            <w:tcW w:w="4300" w:type="dxa"/>
            <w:vAlign w:val="center"/>
          </w:tcPr>
          <w:p w14:paraId="4DF35D19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No monitoring, alerting, or incident-response process has been implemented.</w:t>
            </w:r>
          </w:p>
        </w:tc>
        <w:tc>
          <w:tcPr>
            <w:tcW w:w="1700" w:type="dxa"/>
            <w:vAlign w:val="center"/>
          </w:tcPr>
          <w:p w14:paraId="7C28C886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E36C0A"/>
                <w:sz w:val="21"/>
                <w:szCs w:val="22"/>
              </w:rPr>
              <w:t>High</w:t>
            </w:r>
          </w:p>
        </w:tc>
      </w:tr>
      <w:tr w:rsidR="00C71A8A" w14:paraId="54579DBF" w14:textId="77777777">
        <w:tc>
          <w:tcPr>
            <w:tcW w:w="500" w:type="dxa"/>
            <w:vAlign w:val="center"/>
          </w:tcPr>
          <w:p w14:paraId="6E912A4B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12</w:t>
            </w:r>
          </w:p>
        </w:tc>
        <w:tc>
          <w:tcPr>
            <w:tcW w:w="1900" w:type="dxa"/>
            <w:vAlign w:val="center"/>
          </w:tcPr>
          <w:p w14:paraId="12081BBC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Secure Data Transformation</w:t>
            </w:r>
          </w:p>
        </w:tc>
        <w:tc>
          <w:tcPr>
            <w:tcW w:w="4300" w:type="dxa"/>
            <w:vAlign w:val="center"/>
          </w:tcPr>
          <w:p w14:paraId="1E4FCD01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SRD-specified Python/Pandas import pipeline not present in the current codebase.</w:t>
            </w:r>
          </w:p>
        </w:tc>
        <w:tc>
          <w:tcPr>
            <w:tcW w:w="1700" w:type="dxa"/>
            <w:vAlign w:val="center"/>
          </w:tcPr>
          <w:p w14:paraId="15F0AC98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BF8F00"/>
                <w:sz w:val="21"/>
                <w:szCs w:val="22"/>
              </w:rPr>
              <w:t>Medium</w:t>
            </w:r>
          </w:p>
        </w:tc>
      </w:tr>
      <w:tr w:rsidR="00C71A8A" w14:paraId="21F63027" w14:textId="77777777">
        <w:tc>
          <w:tcPr>
            <w:tcW w:w="500" w:type="dxa"/>
            <w:vAlign w:val="center"/>
          </w:tcPr>
          <w:p w14:paraId="0F4958B4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13</w:t>
            </w:r>
          </w:p>
        </w:tc>
        <w:tc>
          <w:tcPr>
            <w:tcW w:w="1900" w:type="dxa"/>
            <w:vAlign w:val="center"/>
          </w:tcPr>
          <w:p w14:paraId="6F246605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Third-Party API Security</w:t>
            </w:r>
          </w:p>
        </w:tc>
        <w:tc>
          <w:tcPr>
            <w:tcW w:w="4300" w:type="dxa"/>
            <w:vAlign w:val="center"/>
          </w:tcPr>
          <w:p w14:paraId="56F03700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No third-party API integration code has been implemented yet (e.g. Upwork).</w:t>
            </w:r>
          </w:p>
        </w:tc>
        <w:tc>
          <w:tcPr>
            <w:tcW w:w="1700" w:type="dxa"/>
            <w:vAlign w:val="center"/>
          </w:tcPr>
          <w:p w14:paraId="5AB9D947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BF8F00"/>
                <w:sz w:val="21"/>
                <w:szCs w:val="22"/>
              </w:rPr>
              <w:t>Medium</w:t>
            </w:r>
          </w:p>
        </w:tc>
      </w:tr>
      <w:tr w:rsidR="00C71A8A" w14:paraId="23CF3130" w14:textId="77777777">
        <w:tc>
          <w:tcPr>
            <w:tcW w:w="500" w:type="dxa"/>
            <w:vAlign w:val="center"/>
          </w:tcPr>
          <w:p w14:paraId="5BF6A9AA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14</w:t>
            </w:r>
          </w:p>
        </w:tc>
        <w:tc>
          <w:tcPr>
            <w:tcW w:w="1900" w:type="dxa"/>
            <w:vAlign w:val="center"/>
          </w:tcPr>
          <w:p w14:paraId="089E5F12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Data Protection (Transit/Rest)</w:t>
            </w:r>
          </w:p>
        </w:tc>
        <w:tc>
          <w:tcPr>
            <w:tcW w:w="4300" w:type="dxa"/>
            <w:vAlign w:val="center"/>
          </w:tcPr>
          <w:p w14:paraId="4AAC5701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sz w:val="21"/>
                <w:szCs w:val="22"/>
              </w:rPr>
              <w:t>No backend/database exists yet, so TLS and at-rest encryption aren't applicable.</w:t>
            </w:r>
          </w:p>
        </w:tc>
        <w:tc>
          <w:tcPr>
            <w:tcW w:w="1700" w:type="dxa"/>
            <w:vAlign w:val="center"/>
          </w:tcPr>
          <w:p w14:paraId="233C9DC7" w14:textId="77777777" w:rsidR="00C71A8A" w:rsidRDefault="006532F7">
            <w:pPr>
              <w:rPr>
                <w:rFonts w:ascii="Calibri" w:eastAsia="SimSun" w:hAnsi="Calibri" w:cs="Times New Roman"/>
                <w:sz w:val="21"/>
                <w:szCs w:val="22"/>
              </w:rPr>
            </w:pPr>
            <w:r>
              <w:rPr>
                <w:rFonts w:ascii="Calibri" w:eastAsia="SimSun" w:hAnsi="Calibri" w:cs="Times New Roman"/>
                <w:b/>
                <w:bCs/>
                <w:color w:val="808080"/>
                <w:sz w:val="21"/>
                <w:szCs w:val="22"/>
              </w:rPr>
              <w:t>N/A (pending)</w:t>
            </w:r>
          </w:p>
        </w:tc>
      </w:tr>
    </w:tbl>
    <w:p w14:paraId="6F9A2D87" w14:textId="77777777" w:rsidR="00C71A8A" w:rsidRDefault="006532F7">
      <w:pPr>
        <w:spacing w:before="260" w:after="140"/>
        <w:rPr>
          <w:rFonts w:ascii="Calibri" w:eastAsia="SimSun" w:hAnsi="Calibri" w:cs="Times New Roman"/>
          <w:color w:val="2E74B5"/>
          <w:sz w:val="32"/>
          <w:szCs w:val="32"/>
        </w:rPr>
      </w:pPr>
      <w:r>
        <w:rPr>
          <w:rFonts w:ascii="Calibri" w:eastAsia="SimSun" w:hAnsi="Calibri" w:cs="Times New Roman"/>
          <w:b/>
          <w:bCs/>
          <w:color w:val="2E74B5"/>
          <w:sz w:val="32"/>
          <w:szCs w:val="32"/>
        </w:rPr>
        <w:t>Root Cause / Context</w:t>
      </w:r>
    </w:p>
    <w:p w14:paraId="11C613FC" w14:textId="77777777" w:rsidR="00C71A8A" w:rsidRDefault="006532F7">
      <w:pPr>
        <w:spacing w:after="140"/>
        <w:rPr>
          <w:rFonts w:ascii="Calibri" w:eastAsia="SimSun" w:hAnsi="Calibri" w:cs="Times New Roman"/>
          <w:sz w:val="21"/>
          <w:szCs w:val="22"/>
        </w:rPr>
      </w:pPr>
      <w:r>
        <w:rPr>
          <w:rFonts w:ascii="Calibri" w:eastAsia="SimSun" w:hAnsi="Calibri" w:cs="Times New Roman"/>
          <w:sz w:val="21"/>
          <w:szCs w:val="22"/>
        </w:rPr>
        <w:t>The current build is a Google AI Studio–generated UI prototype (Live Build), not a backend-integrated application. These gaps reflect the nature of the tool used to generate the artifact rather than incomplete engineering work. A real backend needs to be built before these issues can be resolved.</w:t>
      </w:r>
    </w:p>
    <w:p w14:paraId="7CF63A63" w14:textId="77777777" w:rsidR="00C71A8A" w:rsidRDefault="006532F7">
      <w:pPr>
        <w:spacing w:before="260" w:after="140"/>
        <w:rPr>
          <w:rFonts w:ascii="Calibri" w:eastAsia="SimSun" w:hAnsi="Calibri" w:cs="Times New Roman"/>
          <w:color w:val="2E74B5"/>
          <w:sz w:val="32"/>
          <w:szCs w:val="32"/>
        </w:rPr>
      </w:pPr>
      <w:r>
        <w:rPr>
          <w:rFonts w:ascii="Calibri" w:eastAsia="SimSun" w:hAnsi="Calibri" w:cs="Times New Roman"/>
          <w:b/>
          <w:bCs/>
          <w:color w:val="2E74B5"/>
          <w:sz w:val="32"/>
          <w:szCs w:val="32"/>
        </w:rPr>
        <w:t>Positive Finding</w:t>
      </w:r>
    </w:p>
    <w:p w14:paraId="620A41E2" w14:textId="77777777" w:rsidR="00C71A8A" w:rsidRDefault="006532F7">
      <w:pPr>
        <w:spacing w:after="140"/>
        <w:rPr>
          <w:rFonts w:ascii="Calibri" w:eastAsia="SimSun" w:hAnsi="Calibri" w:cs="Times New Roman"/>
          <w:sz w:val="21"/>
          <w:szCs w:val="22"/>
        </w:rPr>
      </w:pPr>
      <w:r>
        <w:rPr>
          <w:rFonts w:ascii="Calibri" w:eastAsia="SimSun" w:hAnsi="Calibri" w:cs="Times New Roman"/>
          <w:sz w:val="21"/>
          <w:szCs w:val="22"/>
        </w:rPr>
        <w:t>Secrets hygiene is correctly configured: .gitignore excludes .env files, and no real API keys were found committed to the repository.</w:t>
      </w:r>
    </w:p>
    <w:p w14:paraId="2AA3208A" w14:textId="77777777" w:rsidR="00C71A8A" w:rsidRDefault="00C71A8A">
      <w:pPr>
        <w:pBdr>
          <w:bottom w:val="single" w:sz="6" w:space="1" w:color="AAAAAA"/>
        </w:pBdr>
        <w:spacing w:before="80" w:after="200"/>
        <w:rPr>
          <w:rFonts w:ascii="Calibri" w:eastAsia="SimSun" w:hAnsi="Calibri" w:cs="Times New Roman"/>
          <w:sz w:val="21"/>
          <w:szCs w:val="22"/>
        </w:rPr>
      </w:pPr>
    </w:p>
    <w:p w14:paraId="6F910AE4" w14:textId="77777777" w:rsidR="00C71A8A" w:rsidRDefault="00C71A8A"/>
    <w:sectPr w:rsidR="00C71A8A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ED75A9"/>
    <w:rsid w:val="002126B0"/>
    <w:rsid w:val="006532F7"/>
    <w:rsid w:val="00B750F6"/>
    <w:rsid w:val="00C71A8A"/>
    <w:rsid w:val="00EE71DD"/>
    <w:rsid w:val="62710C1A"/>
    <w:rsid w:val="79ED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E5AB802F-930E-5E42-85E6-A2874C9F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Adesola Adepoju</dc:creator>
  <cp:lastModifiedBy>Nazzy Ezenwata</cp:lastModifiedBy>
  <cp:revision>2</cp:revision>
  <dcterms:created xsi:type="dcterms:W3CDTF">2026-08-14T20:52:00Z</dcterms:created>
  <dcterms:modified xsi:type="dcterms:W3CDTF">2026-08-14T20:52:00Z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FC0519FBDE5246B29DB769D99F91BAB7_11</vt:lpwstr>
  </property>
  <property fmtid="{D5CDD505-2E9C-101B-9397-08002B2CF9AE}" pid="4" name="KSOTemplateDocerSaveRecord">
    <vt:lpwstr>eyJoZGlkIjoiNzg4MTMxZjA3NmNjMDcxZmI1M2EzZGNiNTE5ZmMzNWEiLCJ1c2VySWQiOiIzODY1ODA4ODE0NDk5In0=</vt:lpwstr>
  </property>
</Properties>
</file>