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4q69khb7xkb6" w:id="0"/>
      <w:bookmarkEnd w:id="0"/>
      <w:r w:rsidDel="00000000" w:rsidR="00000000" w:rsidRPr="00000000">
        <w:rPr>
          <w:rtl w:val="0"/>
        </w:rPr>
        <w:t xml:space="preserve">Data Analytics Report</w:t>
      </w:r>
    </w:p>
    <w:p w:rsidR="00000000" w:rsidDel="00000000" w:rsidP="00000000" w:rsidRDefault="00000000" w:rsidRPr="00000000" w14:paraId="00000002">
      <w:pPr>
        <w:spacing w:after="0" w:line="240" w:lineRule="auto"/>
        <w:rPr>
          <w:sz w:val="38"/>
          <w:szCs w:val="38"/>
        </w:rPr>
      </w:pPr>
      <w:r w:rsidDel="00000000" w:rsidR="00000000" w:rsidRPr="00000000">
        <w:rPr>
          <w:rtl w:val="0"/>
        </w:rPr>
      </w:r>
    </w:p>
    <w:p w:rsidR="00000000" w:rsidDel="00000000" w:rsidP="00000000" w:rsidRDefault="00000000" w:rsidRPr="00000000" w14:paraId="00000003">
      <w:pPr>
        <w:pStyle w:val="Title"/>
        <w:spacing w:after="0" w:line="240" w:lineRule="auto"/>
        <w:rPr>
          <w:sz w:val="38"/>
          <w:szCs w:val="38"/>
        </w:rPr>
      </w:pPr>
      <w:bookmarkStart w:colFirst="0" w:colLast="0" w:name="_h3fuwr8loff9" w:id="1"/>
      <w:bookmarkEnd w:id="1"/>
      <w:r w:rsidDel="00000000" w:rsidR="00000000" w:rsidRPr="00000000">
        <w:rPr>
          <w:sz w:val="38"/>
          <w:szCs w:val="38"/>
          <w:rtl w:val="0"/>
        </w:rPr>
        <w:t xml:space="preserve">Community Mental Health Signposting Portal (Escale)</w:t>
      </w:r>
    </w:p>
    <w:p w:rsidR="00000000" w:rsidDel="00000000" w:rsidP="00000000" w:rsidRDefault="00000000" w:rsidRPr="00000000" w14:paraId="00000004">
      <w:pPr>
        <w:spacing w:after="0" w:line="240" w:lineRule="auto"/>
        <w:rPr>
          <w:sz w:val="20"/>
          <w:szCs w:val="20"/>
        </w:rPr>
      </w:pPr>
      <w:r w:rsidDel="00000000" w:rsidR="00000000" w:rsidRPr="00000000">
        <w:rPr>
          <w:rtl w:val="0"/>
        </w:rPr>
      </w:r>
    </w:p>
    <w:p w:rsidR="00000000" w:rsidDel="00000000" w:rsidP="00000000" w:rsidRDefault="00000000" w:rsidRPr="00000000" w14:paraId="00000005">
      <w:pPr>
        <w:spacing w:after="0" w:line="240" w:lineRule="auto"/>
        <w:rPr>
          <w:sz w:val="26"/>
          <w:szCs w:val="26"/>
        </w:rPr>
      </w:pPr>
      <w:r w:rsidDel="00000000" w:rsidR="00000000" w:rsidRPr="00000000">
        <w:rPr>
          <w:b w:val="1"/>
          <w:bCs w:val="1"/>
          <w:sz w:val="26"/>
          <w:szCs w:val="26"/>
          <w:rtl w:val="0"/>
        </w:rPr>
        <w:t xml:space="preserve">Prepared by:</w:t>
      </w:r>
      <w:r w:rsidDel="00000000" w:rsidR="00000000" w:rsidRPr="00000000">
        <w:rPr>
          <w:sz w:val="26"/>
          <w:szCs w:val="26"/>
          <w:rtl w:val="0"/>
        </w:rPr>
        <w:t xml:space="preserve"> Vivian Enenta</w:t>
      </w:r>
    </w:p>
    <w:p w:rsidR="00000000" w:rsidDel="00000000" w:rsidP="00000000" w:rsidRDefault="00000000" w:rsidRPr="00000000" w14:paraId="00000006">
      <w:pPr>
        <w:spacing w:after="0" w:line="240" w:lineRule="auto"/>
        <w:rPr>
          <w:sz w:val="26"/>
          <w:szCs w:val="26"/>
        </w:rPr>
      </w:pPr>
      <w:r w:rsidDel="00000000" w:rsidR="00000000" w:rsidRPr="00000000">
        <w:rPr>
          <w:b w:val="1"/>
          <w:bCs w:val="1"/>
          <w:sz w:val="26"/>
          <w:szCs w:val="26"/>
          <w:rtl w:val="0"/>
        </w:rPr>
        <w:t xml:space="preserve">Role:</w:t>
      </w:r>
      <w:r w:rsidDel="00000000" w:rsidR="00000000" w:rsidRPr="00000000">
        <w:rPr>
          <w:sz w:val="26"/>
          <w:szCs w:val="26"/>
          <w:rtl w:val="0"/>
        </w:rPr>
        <w:t xml:space="preserve"> Data Analytics Lead</w:t>
      </w:r>
    </w:p>
    <w:p w:rsidR="00000000" w:rsidDel="00000000" w:rsidP="00000000" w:rsidRDefault="00000000" w:rsidRPr="00000000" w14:paraId="00000007">
      <w:pPr>
        <w:spacing w:after="0" w:line="240" w:lineRule="auto"/>
        <w:rPr>
          <w:sz w:val="26"/>
          <w:szCs w:val="26"/>
        </w:rPr>
      </w:pPr>
      <w:r w:rsidDel="00000000" w:rsidR="00000000" w:rsidRPr="00000000">
        <w:rPr>
          <w:b w:val="1"/>
          <w:bCs w:val="1"/>
          <w:sz w:val="26"/>
          <w:szCs w:val="26"/>
          <w:rtl w:val="0"/>
        </w:rPr>
        <w:t xml:space="preserve">Team:</w:t>
      </w:r>
      <w:r w:rsidDel="00000000" w:rsidR="00000000" w:rsidRPr="00000000">
        <w:rPr>
          <w:sz w:val="26"/>
          <w:szCs w:val="26"/>
          <w:rtl w:val="0"/>
        </w:rPr>
        <w:t xml:space="preserve"> Apex Innovators </w:t>
      </w:r>
    </w:p>
    <w:p w:rsidR="00000000" w:rsidDel="00000000" w:rsidP="00000000" w:rsidRDefault="00000000" w:rsidRPr="00000000" w14:paraId="00000008">
      <w:pPr>
        <w:spacing w:after="0" w:line="240" w:lineRule="auto"/>
        <w:rPr>
          <w:sz w:val="26"/>
          <w:szCs w:val="26"/>
        </w:rPr>
      </w:pPr>
      <w:r w:rsidDel="00000000" w:rsidR="00000000" w:rsidRPr="00000000">
        <w:rPr>
          <w:rtl w:val="0"/>
        </w:rPr>
      </w:r>
    </w:p>
    <w:p w:rsidR="00000000" w:rsidDel="00000000" w:rsidP="00000000" w:rsidRDefault="00000000" w:rsidRPr="00000000" w14:paraId="00000009">
      <w:pPr>
        <w:spacing w:after="0" w:line="240" w:lineRule="auto"/>
        <w:rPr/>
      </w:pPr>
      <w:r w:rsidDel="00000000" w:rsidR="00000000" w:rsidRPr="00000000">
        <w:rPr>
          <w:sz w:val="26"/>
          <w:szCs w:val="26"/>
          <w:rtl w:val="0"/>
        </w:rPr>
        <w:t xml:space="preserve">Dashboard Link: Community Mental Health Signposting Portal Dashboard </w:t>
      </w:r>
      <w:hyperlink r:id="rId6">
        <w:r w:rsidDel="00000000" w:rsidR="00000000" w:rsidRPr="00000000">
          <w:rPr>
            <w:color w:val="1155cc"/>
            <w:sz w:val="26"/>
            <w:szCs w:val="26"/>
            <w:u w:val="single"/>
            <w:rtl w:val="0"/>
          </w:rPr>
          <w:t xml:space="preserve">https://public.tableau.com/views/CommunityMentalHealthSignpostingPortalDashboard/Dashboard1</w:t>
        </w:r>
      </w:hyperlink>
      <w:r w:rsidDel="00000000" w:rsidR="00000000" w:rsidRPr="00000000">
        <w:rPr>
          <w:rtl w:val="0"/>
        </w:rPr>
      </w:r>
    </w:p>
    <w:p w:rsidR="00000000" w:rsidDel="00000000" w:rsidP="00000000" w:rsidRDefault="00000000" w:rsidRPr="00000000" w14:paraId="0000000A">
      <w:pPr>
        <w:spacing w:after="0" w:line="240" w:lineRule="auto"/>
        <w:rPr/>
      </w:pP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rtl w:val="0"/>
        </w:rPr>
      </w:r>
    </w:p>
    <w:p w:rsidR="00000000" w:rsidDel="00000000" w:rsidP="00000000" w:rsidRDefault="00000000" w:rsidRPr="00000000" w14:paraId="0000000C">
      <w:pPr>
        <w:pStyle w:val="Heading1"/>
        <w:spacing w:line="240" w:lineRule="auto"/>
        <w:rPr/>
      </w:pPr>
      <w:bookmarkStart w:colFirst="0" w:colLast="0" w:name="_gxhezez2p25r" w:id="2"/>
      <w:bookmarkEnd w:id="2"/>
      <w:r w:rsidDel="00000000" w:rsidR="00000000" w:rsidRPr="00000000">
        <w:rPr>
          <w:rtl w:val="0"/>
        </w:rPr>
        <w:t xml:space="preserve">Figure 1. Mental Health and Burnout Risk Among Early-Career Professionals </w:t>
      </w:r>
    </w:p>
    <w:p w:rsidR="00000000" w:rsidDel="00000000" w:rsidP="00000000" w:rsidRDefault="00000000" w:rsidRPr="00000000" w14:paraId="0000000D">
      <w:pPr>
        <w:spacing w:after="0" w:line="240" w:lineRule="auto"/>
        <w:rPr/>
      </w:pPr>
      <w:r w:rsidDel="00000000" w:rsidR="00000000" w:rsidRPr="00000000">
        <w:rPr>
          <w:rtl w:val="0"/>
        </w:rPr>
        <w:t xml:space="preserve">The dashboard provides an overview of burnout risk, stress levels, mental health conditions, workplace stigma, and Employee Assistance Program (EAP) access among early-career professionals. It highlights key patterns that informed the recommendations and proposed portal design. </w:t>
      </w:r>
    </w:p>
    <w:p w:rsidR="00000000" w:rsidDel="00000000" w:rsidP="00000000" w:rsidRDefault="00000000" w:rsidRPr="00000000" w14:paraId="0000000E">
      <w:pPr>
        <w:spacing w:after="0" w:line="240" w:lineRule="auto"/>
        <w:rPr/>
      </w:pPr>
      <w:r w:rsidDel="00000000" w:rsidR="00000000" w:rsidRPr="00000000">
        <w:rPr/>
        <w:drawing>
          <wp:inline distB="114300" distT="114300" distL="114300" distR="114300">
            <wp:extent cx="5731200" cy="2971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line="240" w:lineRule="auto"/>
        <w:rPr/>
      </w:pPr>
      <w:r w:rsidDel="00000000" w:rsidR="00000000" w:rsidRPr="00000000">
        <w:rPr>
          <w:b w:val="1"/>
          <w:bCs w:val="1"/>
          <w:rtl w:val="0"/>
        </w:rPr>
        <w:t xml:space="preserve">Source:</w:t>
      </w:r>
      <w:r w:rsidDel="00000000" w:rsidR="00000000" w:rsidRPr="00000000">
        <w:rPr>
          <w:rtl w:val="0"/>
        </w:rPr>
        <w:t xml:space="preserve"> Author's analysis of the Workplace Mental Health Dataset (Kaggle), 2026. </w:t>
      </w:r>
    </w:p>
    <w:p w:rsidR="00000000" w:rsidDel="00000000" w:rsidP="00000000" w:rsidRDefault="00000000" w:rsidRPr="00000000" w14:paraId="00000010">
      <w:pPr>
        <w:pStyle w:val="Heading1"/>
        <w:spacing w:after="0" w:line="240" w:lineRule="auto"/>
        <w:rPr/>
      </w:pPr>
      <w:bookmarkStart w:colFirst="0" w:colLast="0" w:name="_euppyf3d5686" w:id="3"/>
      <w:bookmarkEnd w:id="3"/>
      <w:r w:rsidDel="00000000" w:rsidR="00000000" w:rsidRPr="00000000">
        <w:rPr>
          <w:rtl w:val="0"/>
        </w:rPr>
        <w:t xml:space="preserve">Executive Summary</w:t>
      </w:r>
    </w:p>
    <w:p w:rsidR="00000000" w:rsidDel="00000000" w:rsidP="00000000" w:rsidRDefault="00000000" w:rsidRPr="00000000" w14:paraId="00000011">
      <w:pPr>
        <w:spacing w:after="0" w:line="240" w:lineRule="auto"/>
        <w:rPr>
          <w:sz w:val="26"/>
          <w:szCs w:val="26"/>
        </w:rPr>
      </w:pPr>
      <w:r w:rsidDel="00000000" w:rsidR="00000000" w:rsidRPr="00000000">
        <w:rPr>
          <w:sz w:val="26"/>
          <w:szCs w:val="26"/>
          <w:rtl w:val="0"/>
        </w:rPr>
        <w:t xml:space="preserve">This analysis examined mental health challenges among 4,327 early-career professionals (0–10 years of experience). Findings revealed high burnout risk associated with increasing stress levels, significant industry differences, a substantial burden of mental health conditions, and low utilization of available support services. These findings informed the design of the Escale Community Mental Health Signposting Portal, a platform intended to improve awareness of, navigation to, and access to mental health resources and peer-support services. </w:t>
      </w:r>
    </w:p>
    <w:p w:rsidR="00000000" w:rsidDel="00000000" w:rsidP="00000000" w:rsidRDefault="00000000" w:rsidRPr="00000000" w14:paraId="00000012">
      <w:pPr>
        <w:spacing w:after="0" w:line="240" w:lineRule="auto"/>
        <w:rPr>
          <w:sz w:val="26"/>
          <w:szCs w:val="26"/>
        </w:rPr>
      </w:pPr>
      <w:r w:rsidDel="00000000" w:rsidR="00000000" w:rsidRPr="00000000">
        <w:rPr>
          <w:rtl w:val="0"/>
        </w:rPr>
      </w:r>
    </w:p>
    <w:p w:rsidR="00000000" w:rsidDel="00000000" w:rsidP="00000000" w:rsidRDefault="00000000" w:rsidRPr="00000000" w14:paraId="00000013">
      <w:pPr>
        <w:spacing w:after="0" w:line="240" w:lineRule="auto"/>
        <w:rPr>
          <w:sz w:val="26"/>
          <w:szCs w:val="26"/>
        </w:rPr>
      </w:pPr>
      <w:r w:rsidDel="00000000" w:rsidR="00000000" w:rsidRPr="00000000">
        <w:rPr>
          <w:rtl w:val="0"/>
        </w:rPr>
      </w:r>
    </w:p>
    <w:p w:rsidR="00000000" w:rsidDel="00000000" w:rsidP="00000000" w:rsidRDefault="00000000" w:rsidRPr="00000000" w14:paraId="00000014">
      <w:pPr>
        <w:pStyle w:val="Heading1"/>
        <w:spacing w:after="0" w:line="240" w:lineRule="auto"/>
        <w:rPr/>
      </w:pPr>
      <w:bookmarkStart w:colFirst="0" w:colLast="0" w:name="_e9j36k7vqek8" w:id="4"/>
      <w:bookmarkEnd w:id="4"/>
      <w:r w:rsidDel="00000000" w:rsidR="00000000" w:rsidRPr="00000000">
        <w:rPr>
          <w:rtl w:val="0"/>
        </w:rPr>
        <w:t xml:space="preserve">Objectives</w:t>
      </w:r>
    </w:p>
    <w:p w:rsidR="00000000" w:rsidDel="00000000" w:rsidP="00000000" w:rsidRDefault="00000000" w:rsidRPr="00000000" w14:paraId="00000015">
      <w:pPr>
        <w:spacing w:after="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primary goal of this research was to investigate burnout trends, mental health obstacles, and support availability deficits within the early-career workforce to guide the development of the Escale Community Mental Health Signposting Portal.</w:t>
      </w:r>
      <w:r w:rsidDel="00000000" w:rsidR="00000000" w:rsidRPr="00000000">
        <w:rPr>
          <w:rtl w:val="0"/>
        </w:rPr>
      </w:r>
    </w:p>
    <w:p w:rsidR="00000000" w:rsidDel="00000000" w:rsidP="00000000" w:rsidRDefault="00000000" w:rsidRPr="00000000" w14:paraId="00000016">
      <w:pPr>
        <w:pStyle w:val="Heading1"/>
        <w:spacing w:after="0" w:line="240" w:lineRule="auto"/>
        <w:rPr/>
      </w:pPr>
      <w:bookmarkStart w:colFirst="0" w:colLast="0" w:name="_eut3wrs08kpr" w:id="5"/>
      <w:bookmarkEnd w:id="5"/>
      <w:r w:rsidDel="00000000" w:rsidR="00000000" w:rsidRPr="00000000">
        <w:rPr>
          <w:rtl w:val="0"/>
        </w:rPr>
        <w:t xml:space="preserve">Dataset Description </w:t>
      </w:r>
    </w:p>
    <w:p w:rsidR="00000000" w:rsidDel="00000000" w:rsidP="00000000" w:rsidRDefault="00000000" w:rsidRPr="00000000" w14:paraId="00000017">
      <w:pPr>
        <w:spacing w:after="0" w:lin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820"/>
        <w:tblGridChange w:id="0">
          <w:tblGrid>
            <w:gridCol w:w="3180"/>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Workplace Mental Health Dataset (Kaggle)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Early-Career professionals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Early-Career Subgroup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 years of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Stress level, Industry, Mental Health condition, EAP Availability, EAP Usage, Burnout Risk.</w:t>
            </w:r>
          </w:p>
        </w:tc>
      </w:tr>
    </w:tbl>
    <w:p w:rsidR="00000000" w:rsidDel="00000000" w:rsidP="00000000" w:rsidRDefault="00000000" w:rsidRPr="00000000" w14:paraId="00000026">
      <w:pPr>
        <w:pStyle w:val="Heading1"/>
        <w:spacing w:after="0" w:line="240" w:lineRule="auto"/>
        <w:rPr/>
      </w:pPr>
      <w:bookmarkStart w:colFirst="0" w:colLast="0" w:name="_da2ggshn1ges" w:id="6"/>
      <w:bookmarkEnd w:id="6"/>
      <w:r w:rsidDel="00000000" w:rsidR="00000000" w:rsidRPr="00000000">
        <w:rPr>
          <w:rtl w:val="0"/>
        </w:rPr>
        <w:t xml:space="preserve">Methodology</w:t>
      </w:r>
    </w:p>
    <w:p w:rsidR="00000000" w:rsidDel="00000000" w:rsidP="00000000" w:rsidRDefault="00000000" w:rsidRPr="00000000" w14:paraId="00000027">
      <w:pPr>
        <w:spacing w:after="0" w:line="240" w:lineRule="auto"/>
        <w:rPr/>
      </w:pPr>
      <w:r w:rsidDel="00000000" w:rsidR="00000000" w:rsidRPr="00000000">
        <w:rPr>
          <w:rtl w:val="0"/>
        </w:rPr>
        <w:t xml:space="preserve">The dataset was cleaned and filtered to isolate early-career professionals (0–10 years of experience). Pivot table analysis was used to examine burnout risk across stress levels, industries, mental health conditions, and access to workplace support services. Visualisations were created to identify key patterns and trends. </w:t>
      </w:r>
    </w:p>
    <w:p w:rsidR="00000000" w:rsidDel="00000000" w:rsidP="00000000" w:rsidRDefault="00000000" w:rsidRPr="00000000" w14:paraId="00000028">
      <w:pPr>
        <w:pStyle w:val="Heading1"/>
        <w:spacing w:after="0" w:line="240" w:lineRule="auto"/>
        <w:rPr/>
      </w:pPr>
      <w:bookmarkStart w:colFirst="0" w:colLast="0" w:name="_92mn4n72bnwd" w:id="7"/>
      <w:bookmarkEnd w:id="7"/>
      <w:r w:rsidDel="00000000" w:rsidR="00000000" w:rsidRPr="00000000">
        <w:rPr>
          <w:rtl w:val="0"/>
        </w:rPr>
        <w:t xml:space="preserve">Summary Table</w:t>
      </w:r>
    </w:p>
    <w:p w:rsidR="00000000" w:rsidDel="00000000" w:rsidP="00000000" w:rsidRDefault="00000000" w:rsidRPr="00000000" w14:paraId="00000029">
      <w:pPr>
        <w:spacing w:after="0" w:line="24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Average Burnout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rPr/>
            </w:pPr>
            <w:r w:rsidDel="00000000" w:rsidR="00000000" w:rsidRPr="00000000">
              <w:rPr>
                <w:rtl w:val="0"/>
              </w:rPr>
              <w:t xml:space="preserve">EAP Availability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pPr>
            <w:r w:rsidDel="00000000" w:rsidR="00000000" w:rsidRPr="00000000">
              <w:rPr>
                <w:rtl w:val="0"/>
              </w:rPr>
              <w:t xml:space="preserve">EAP Utilisation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Total Records Analysed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4,327</w:t>
            </w:r>
          </w:p>
        </w:tc>
      </w:tr>
    </w:tbl>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pStyle w:val="Heading1"/>
        <w:spacing w:after="0" w:line="240" w:lineRule="auto"/>
        <w:rPr/>
      </w:pPr>
      <w:bookmarkStart w:colFirst="0" w:colLast="0" w:name="_jcy9nl3k2coe" w:id="8"/>
      <w:bookmarkEnd w:id="8"/>
      <w:r w:rsidDel="00000000" w:rsidR="00000000" w:rsidRPr="00000000">
        <w:rPr>
          <w:rtl w:val="0"/>
        </w:rPr>
        <w:t xml:space="preserve">Early-Career Professional Segment (n = 4,327) </w:t>
      </w:r>
    </w:p>
    <w:p w:rsidR="00000000" w:rsidDel="00000000" w:rsidP="00000000" w:rsidRDefault="00000000" w:rsidRPr="00000000" w14:paraId="00000037">
      <w:pPr>
        <w:pStyle w:val="Heading1"/>
        <w:spacing w:after="0" w:line="240" w:lineRule="auto"/>
        <w:rPr/>
      </w:pPr>
      <w:bookmarkStart w:colFirst="0" w:colLast="0" w:name="_ejjxq8i2ytu7" w:id="9"/>
      <w:bookmarkEnd w:id="9"/>
      <w:r w:rsidDel="00000000" w:rsidR="00000000" w:rsidRPr="00000000">
        <w:rPr>
          <w:rtl w:val="0"/>
        </w:rPr>
        <w:t xml:space="preserve">Key Findings</w:t>
      </w:r>
    </w:p>
    <w:p w:rsidR="00000000" w:rsidDel="00000000" w:rsidP="00000000" w:rsidRDefault="00000000" w:rsidRPr="00000000" w14:paraId="00000038">
      <w:pPr>
        <w:pStyle w:val="Heading1"/>
        <w:spacing w:after="0" w:line="240" w:lineRule="auto"/>
        <w:rPr>
          <w:sz w:val="26"/>
          <w:szCs w:val="26"/>
        </w:rPr>
      </w:pPr>
      <w:bookmarkStart w:colFirst="0" w:colLast="0" w:name="_lslzgooo6iqf" w:id="10"/>
      <w:bookmarkEnd w:id="10"/>
      <w:r w:rsidDel="00000000" w:rsidR="00000000" w:rsidRPr="00000000">
        <w:rPr>
          <w:sz w:val="26"/>
          <w:szCs w:val="26"/>
          <w:rtl w:val="0"/>
        </w:rPr>
        <w:t xml:space="preserve">Finding 1: Stress and Burnout</w:t>
      </w:r>
    </w:p>
    <w:p w:rsidR="00000000" w:rsidDel="00000000" w:rsidP="00000000" w:rsidRDefault="00000000" w:rsidRPr="00000000" w14:paraId="00000039">
      <w:pPr>
        <w:spacing w:after="0" w:line="240" w:lineRule="auto"/>
        <w:rPr/>
      </w:pPr>
      <w:r w:rsidDel="00000000" w:rsidR="00000000" w:rsidRPr="00000000">
        <w:rPr>
          <w:rtl w:val="0"/>
        </w:rPr>
        <w:t xml:space="preserve">Burnout risk increased as stress levels increased. Respondents reporting very severe stress had the highest average burnout risk score (4.80), while those reporting very low stress had the lowest score (3.32). This suggests that stress management should be a key component of mental health interventions for early-career professionals. </w:t>
      </w: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r>
    </w:p>
    <w:tbl>
      <w:tblPr>
        <w:tblStyle w:val="Table3"/>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95"/>
        <w:tblGridChange w:id="0">
          <w:tblGrid>
            <w:gridCol w:w="2415"/>
            <w:gridCol w:w="2295"/>
          </w:tblGrid>
        </w:tblGridChange>
      </w:tblGrid>
      <w:tr>
        <w:trPr>
          <w:cantSplit w:val="0"/>
          <w:trHeight w:val="485" w:hRule="atLeast"/>
          <w:tblHeader w:val="0"/>
        </w:trPr>
        <w:tc>
          <w:tcPr>
            <w:tcBorders>
              <w:top w:color="000000" w:space="0" w:sz="0" w:val="nil"/>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pPr>
            <w:r w:rsidDel="00000000" w:rsidR="00000000" w:rsidRPr="00000000">
              <w:rPr>
                <w:b w:val="1"/>
                <w:bCs w:val="1"/>
                <w:rtl w:val="0"/>
              </w:rPr>
              <w:t xml:space="preserve">Stress level</w:t>
            </w:r>
            <w:r w:rsidDel="00000000" w:rsidR="00000000" w:rsidRPr="00000000">
              <w:rPr>
                <w:rtl w:val="0"/>
              </w:rPr>
            </w:r>
          </w:p>
        </w:tc>
        <w:tc>
          <w:tcPr>
            <w:tcBorders>
              <w:top w:color="000000" w:space="0" w:sz="0" w:val="nil"/>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pPr>
            <w:r w:rsidDel="00000000" w:rsidR="00000000" w:rsidRPr="00000000">
              <w:rPr>
                <w:b w:val="1"/>
                <w:bCs w:val="1"/>
                <w:rtl w:val="0"/>
              </w:rPr>
              <w:t xml:space="preserve">Average of burnout_risk_score</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pPr>
            <w:r w:rsidDel="00000000" w:rsidR="00000000" w:rsidRPr="00000000">
              <w:rPr>
                <w:rtl w:val="0"/>
              </w:rPr>
              <w:t xml:space="preserve">3.32</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pPr>
            <w:r w:rsidDel="00000000" w:rsidR="00000000" w:rsidRPr="00000000">
              <w:rPr>
                <w:rtl w:val="0"/>
              </w:rPr>
              <w:t xml:space="preserve">3.47</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3.73</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pPr>
            <w:r w:rsidDel="00000000" w:rsidR="00000000" w:rsidRPr="00000000">
              <w:rPr>
                <w:rtl w:val="0"/>
              </w:rPr>
              <w:t xml:space="preserve">4.44</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pPr>
            <w:r w:rsidDel="00000000" w:rsidR="00000000" w:rsidRPr="00000000">
              <w:rPr>
                <w:rtl w:val="0"/>
              </w:rPr>
              <w:t xml:space="preserve">Very 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4.80</w:t>
            </w:r>
          </w:p>
          <w:p w:rsidR="00000000" w:rsidDel="00000000" w:rsidP="00000000" w:rsidRDefault="00000000" w:rsidRPr="00000000" w14:paraId="00000047">
            <w:pPr>
              <w:spacing w:after="0" w:line="240" w:lineRule="auto"/>
              <w:rPr/>
            </w:pPr>
            <w:r w:rsidDel="00000000" w:rsidR="00000000" w:rsidRPr="00000000">
              <w:rPr>
                <w:rtl w:val="0"/>
              </w:rPr>
            </w:r>
          </w:p>
        </w:tc>
      </w:tr>
    </w:tbl>
    <w:p w:rsidR="00000000" w:rsidDel="00000000" w:rsidP="00000000" w:rsidRDefault="00000000" w:rsidRPr="00000000" w14:paraId="00000048">
      <w:pPr>
        <w:pStyle w:val="Heading1"/>
        <w:spacing w:after="0" w:line="240" w:lineRule="auto"/>
        <w:rPr>
          <w:sz w:val="28"/>
          <w:szCs w:val="28"/>
        </w:rPr>
      </w:pPr>
      <w:bookmarkStart w:colFirst="0" w:colLast="0" w:name="_9vt63dmqzfaj" w:id="11"/>
      <w:bookmarkEnd w:id="11"/>
      <w:r w:rsidDel="00000000" w:rsidR="00000000" w:rsidRPr="00000000">
        <w:rPr>
          <w:sz w:val="28"/>
          <w:szCs w:val="28"/>
          <w:rtl w:val="0"/>
        </w:rPr>
        <w:t xml:space="preserve">Finding 2: Industry sector differences</w:t>
      </w:r>
    </w:p>
    <w:p w:rsidR="00000000" w:rsidDel="00000000" w:rsidP="00000000" w:rsidRDefault="00000000" w:rsidRPr="00000000" w14:paraId="00000049">
      <w:pPr>
        <w:spacing w:after="0" w:line="240" w:lineRule="auto"/>
        <w:rPr/>
      </w:pPr>
      <w:r w:rsidDel="00000000" w:rsidR="00000000" w:rsidRPr="00000000">
        <w:rPr>
          <w:rtl w:val="0"/>
        </w:rPr>
        <w:t xml:space="preserve">Burnout risk varied across industries, with Consulting, Technology, and Finance &amp; Banking recording the highest scores. These sectors may benefit from targeted mental health support and resource navigation services. </w:t>
      </w: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tl w:val="0"/>
        </w:rPr>
      </w:r>
    </w:p>
    <w:tbl>
      <w:tblPr>
        <w:tblStyle w:val="Table4"/>
        <w:tblW w:w="6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3185"/>
        <w:tblGridChange w:id="0">
          <w:tblGrid>
            <w:gridCol w:w="2855"/>
            <w:gridCol w:w="3185"/>
          </w:tblGrid>
        </w:tblGridChange>
      </w:tblGrid>
      <w:tr>
        <w:trPr>
          <w:cantSplit w:val="0"/>
          <w:trHeight w:val="485" w:hRule="atLeast"/>
          <w:tblHeader w:val="0"/>
        </w:trPr>
        <w:tc>
          <w:tcPr>
            <w:tcBorders>
              <w:top w:color="000000" w:space="0" w:sz="0" w:val="nil"/>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pPr>
            <w:r w:rsidDel="00000000" w:rsidR="00000000" w:rsidRPr="00000000">
              <w:rPr>
                <w:b w:val="1"/>
                <w:bCs w:val="1"/>
                <w:rtl w:val="0"/>
              </w:rPr>
              <w:t xml:space="preserve">Industry</w:t>
            </w:r>
            <w:r w:rsidDel="00000000" w:rsidR="00000000" w:rsidRPr="00000000">
              <w:rPr>
                <w:rtl w:val="0"/>
              </w:rPr>
            </w:r>
          </w:p>
        </w:tc>
        <w:tc>
          <w:tcPr>
            <w:tcBorders>
              <w:top w:color="000000" w:space="0" w:sz="0" w:val="nil"/>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pPr>
            <w:r w:rsidDel="00000000" w:rsidR="00000000" w:rsidRPr="00000000">
              <w:rPr>
                <w:b w:val="1"/>
                <w:bCs w:val="1"/>
                <w:rtl w:val="0"/>
              </w:rPr>
              <w:t xml:space="preserve">Average of burnout_risk_score</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Consulting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pPr>
            <w:r w:rsidDel="00000000" w:rsidR="00000000" w:rsidRPr="00000000">
              <w:rPr>
                <w:rtl w:val="0"/>
              </w:rPr>
              <w:t xml:space="preserve">5.00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pPr>
            <w:r w:rsidDel="00000000" w:rsidR="00000000" w:rsidRPr="00000000">
              <w:rPr>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pPr>
            <w:r w:rsidDel="00000000" w:rsidR="00000000" w:rsidRPr="00000000">
              <w:rPr>
                <w:rtl w:val="0"/>
              </w:rPr>
              <w:t xml:space="preserve">4.95</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Finance &amp; Banking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4.94</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pPr>
            <w:r w:rsidDel="00000000" w:rsidR="00000000" w:rsidRPr="00000000">
              <w:rPr>
                <w:rtl w:val="0"/>
              </w:rPr>
              <w:t xml:space="preserve">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pPr>
            <w:r w:rsidDel="00000000" w:rsidR="00000000" w:rsidRPr="00000000">
              <w:rPr>
                <w:rtl w:val="0"/>
              </w:rPr>
              <w:t xml:space="preserve">4.68</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pPr>
            <w:r w:rsidDel="00000000" w:rsidR="00000000" w:rsidRPr="00000000">
              <w:rPr>
                <w:rtl w:val="0"/>
              </w:rPr>
              <w:t xml:space="preserve">Healthcare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pPr>
            <w:r w:rsidDel="00000000" w:rsidR="00000000" w:rsidRPr="00000000">
              <w:rPr>
                <w:rtl w:val="0"/>
              </w:rPr>
              <w:t xml:space="preserve">4.50</w:t>
            </w:r>
          </w:p>
        </w:tc>
      </w:tr>
    </w:tbl>
    <w:p w:rsidR="00000000" w:rsidDel="00000000" w:rsidP="00000000" w:rsidRDefault="00000000" w:rsidRPr="00000000" w14:paraId="00000057">
      <w:pPr>
        <w:spacing w:after="0" w:line="240" w:lineRule="auto"/>
        <w:rPr/>
      </w:pPr>
      <w:r w:rsidDel="00000000" w:rsidR="00000000" w:rsidRPr="00000000">
        <w:rPr>
          <w:rtl w:val="0"/>
        </w:rPr>
      </w:r>
    </w:p>
    <w:p w:rsidR="00000000" w:rsidDel="00000000" w:rsidP="00000000" w:rsidRDefault="00000000" w:rsidRPr="00000000" w14:paraId="00000058">
      <w:pPr>
        <w:pStyle w:val="Heading1"/>
        <w:spacing w:after="0" w:line="240" w:lineRule="auto"/>
        <w:rPr>
          <w:sz w:val="28"/>
          <w:szCs w:val="28"/>
        </w:rPr>
      </w:pPr>
      <w:bookmarkStart w:colFirst="0" w:colLast="0" w:name="_6f11gvnu5v0k" w:id="12"/>
      <w:bookmarkEnd w:id="12"/>
      <w:r w:rsidDel="00000000" w:rsidR="00000000" w:rsidRPr="00000000">
        <w:rPr>
          <w:sz w:val="28"/>
          <w:szCs w:val="28"/>
          <w:rtl w:val="0"/>
        </w:rPr>
        <w:t xml:space="preserve">Finding 3: Mental Health Conditions</w:t>
      </w:r>
    </w:p>
    <w:p w:rsidR="00000000" w:rsidDel="00000000" w:rsidP="00000000" w:rsidRDefault="00000000" w:rsidRPr="00000000" w14:paraId="00000059">
      <w:pPr>
        <w:spacing w:after="0" w:line="240" w:lineRule="auto"/>
        <w:rPr/>
      </w:pPr>
      <w:r w:rsidDel="00000000" w:rsidR="00000000" w:rsidRPr="00000000">
        <w:rPr>
          <w:rtl w:val="0"/>
        </w:rPr>
        <w:t xml:space="preserve">Respondents experiencing burnout or multiple mental health conditions reported substantially higher burnout risk scores than those reporting no mental health conditions. This highlights the need for timely identification and support. Approximately 72.1% of early-career professionals reported mild, moderate, or severe mental health concerns, indicating a substantial mental health burden within the target population. </w:t>
      </w: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tl w:val="0"/>
        </w:rPr>
      </w:r>
    </w:p>
    <w:tbl>
      <w:tblPr>
        <w:tblStyle w:val="Table5"/>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535"/>
        <w:tblGridChange w:id="0">
          <w:tblGrid>
            <w:gridCol w:w="2715"/>
            <w:gridCol w:w="2535"/>
          </w:tblGrid>
        </w:tblGridChange>
      </w:tblGrid>
      <w:tr>
        <w:trPr>
          <w:cantSplit w:val="0"/>
          <w:trHeight w:val="485" w:hRule="atLeast"/>
          <w:tblHeader w:val="0"/>
        </w:trPr>
        <w:tc>
          <w:tcPr>
            <w:tcBorders>
              <w:top w:color="000000" w:space="0" w:sz="0" w:val="nil"/>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pPr>
            <w:r w:rsidDel="00000000" w:rsidR="00000000" w:rsidRPr="00000000">
              <w:rPr>
                <w:b w:val="1"/>
                <w:bCs w:val="1"/>
                <w:rtl w:val="0"/>
              </w:rPr>
              <w:t xml:space="preserve">Mental Health Conditions</w:t>
            </w:r>
            <w:r w:rsidDel="00000000" w:rsidR="00000000" w:rsidRPr="00000000">
              <w:rPr>
                <w:rtl w:val="0"/>
              </w:rPr>
            </w:r>
          </w:p>
        </w:tc>
        <w:tc>
          <w:tcPr>
            <w:tcBorders>
              <w:top w:color="000000" w:space="0" w:sz="0" w:val="nil"/>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pPr>
            <w:r w:rsidDel="00000000" w:rsidR="00000000" w:rsidRPr="00000000">
              <w:rPr>
                <w:b w:val="1"/>
                <w:bCs w:val="1"/>
                <w:rtl w:val="0"/>
              </w:rPr>
              <w:t xml:space="preserve">Average of burnout_risk_score</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pPr>
            <w:r w:rsidDel="00000000" w:rsidR="00000000" w:rsidRPr="00000000">
              <w:rPr>
                <w:rtl w:val="0"/>
              </w:rPr>
              <w:t xml:space="preserve">Burnout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pPr>
            <w:r w:rsidDel="00000000" w:rsidR="00000000" w:rsidRPr="00000000">
              <w:rPr>
                <w:rtl w:val="0"/>
              </w:rPr>
              <w:t xml:space="preserve">6.71</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pPr>
            <w:r w:rsidDel="00000000" w:rsidR="00000000" w:rsidRPr="00000000">
              <w:rPr>
                <w:rtl w:val="0"/>
              </w:rPr>
              <w:t xml:space="preserve">Multiple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pPr>
            <w:r w:rsidDel="00000000" w:rsidR="00000000" w:rsidRPr="00000000">
              <w:rPr>
                <w:rtl w:val="0"/>
              </w:rPr>
              <w:t xml:space="preserve">6.69</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ADHD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pPr>
            <w:r w:rsidDel="00000000" w:rsidR="00000000" w:rsidRPr="00000000">
              <w:rPr>
                <w:rtl w:val="0"/>
              </w:rPr>
              <w:t xml:space="preserve">4.12</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pPr>
            <w:r w:rsidDel="00000000" w:rsidR="00000000" w:rsidRPr="00000000">
              <w:rPr>
                <w:rtl w:val="0"/>
              </w:rPr>
              <w:t xml:space="preserve">3.02</w:t>
            </w:r>
          </w:p>
        </w:tc>
      </w:tr>
    </w:tbl>
    <w:p w:rsidR="00000000" w:rsidDel="00000000" w:rsidP="00000000" w:rsidRDefault="00000000" w:rsidRPr="00000000" w14:paraId="00000065">
      <w:pPr>
        <w:spacing w:after="0" w:line="240" w:lineRule="auto"/>
        <w:rPr/>
      </w:pPr>
      <w:r w:rsidDel="00000000" w:rsidR="00000000" w:rsidRPr="00000000">
        <w:rPr>
          <w:rtl w:val="0"/>
        </w:rPr>
      </w:r>
    </w:p>
    <w:p w:rsidR="00000000" w:rsidDel="00000000" w:rsidP="00000000" w:rsidRDefault="00000000" w:rsidRPr="00000000" w14:paraId="00000066">
      <w:pPr>
        <w:pStyle w:val="Heading1"/>
        <w:spacing w:after="0" w:line="240" w:lineRule="auto"/>
        <w:rPr>
          <w:sz w:val="28"/>
          <w:szCs w:val="28"/>
        </w:rPr>
      </w:pPr>
      <w:bookmarkStart w:colFirst="0" w:colLast="0" w:name="_9medo0p98u7w" w:id="13"/>
      <w:bookmarkEnd w:id="13"/>
      <w:r w:rsidDel="00000000" w:rsidR="00000000" w:rsidRPr="00000000">
        <w:rPr>
          <w:sz w:val="28"/>
          <w:szCs w:val="28"/>
          <w:rtl w:val="0"/>
        </w:rPr>
        <w:t xml:space="preserve">Finding 4: Support Access Gap</w:t>
      </w:r>
    </w:p>
    <w:p w:rsidR="00000000" w:rsidDel="00000000" w:rsidP="00000000" w:rsidRDefault="00000000" w:rsidRPr="00000000" w14:paraId="00000067">
      <w:pPr>
        <w:spacing w:after="0" w:line="240" w:lineRule="auto"/>
        <w:rPr/>
      </w:pPr>
      <w:r w:rsidDel="00000000" w:rsidR="00000000" w:rsidRPr="00000000">
        <w:rPr>
          <w:rtl w:val="0"/>
        </w:rPr>
        <w:t xml:space="preserve">Only 51.8% of respondents had access to an Employee Assistance Program (EAP), while 48.2% had no access to workplace mental health support services. Although EAPs were available to many respondents, utilization remained low. </w:t>
      </w:r>
      <w:r w:rsidDel="00000000" w:rsidR="00000000" w:rsidRPr="00000000">
        <w:rPr>
          <w:rtl w:val="0"/>
        </w:rPr>
        <w:t xml:space="preserve">With only 728 individuals engaging with EAP offerings, the utilization rate stands at 32.5%. This indicates that obstacles such as restricted knowledge, social stigma, lack of confidence, or complexities in finding help may hinder professionals from accessing these supportive resources.</w:t>
      </w:r>
    </w:p>
    <w:p w:rsidR="00000000" w:rsidDel="00000000" w:rsidP="00000000" w:rsidRDefault="00000000" w:rsidRPr="00000000" w14:paraId="00000068">
      <w:pPr>
        <w:spacing w:after="0" w:line="240" w:lineRule="auto"/>
        <w:rPr/>
      </w:pPr>
      <w:r w:rsidDel="00000000" w:rsidR="00000000" w:rsidRPr="00000000">
        <w:rPr>
          <w:rtl w:val="0"/>
        </w:rPr>
      </w:r>
    </w:p>
    <w:tbl>
      <w:tblPr>
        <w:tblStyle w:val="Table6"/>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665"/>
        <w:tblGridChange w:id="0">
          <w:tblGrid>
            <w:gridCol w:w="2445"/>
            <w:gridCol w:w="1665"/>
          </w:tblGrid>
        </w:tblGridChange>
      </w:tblGrid>
      <w:tr>
        <w:trPr>
          <w:cantSplit w:val="0"/>
          <w:trHeight w:val="485" w:hRule="atLeast"/>
          <w:tblHeader w:val="0"/>
        </w:trPr>
        <w:tc>
          <w:tcPr>
            <w:tcBorders>
              <w:top w:color="000000" w:space="0" w:sz="0" w:val="nil"/>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pPr>
            <w:r w:rsidDel="00000000" w:rsidR="00000000" w:rsidRPr="00000000">
              <w:rPr>
                <w:b w:val="1"/>
                <w:bCs w:val="1"/>
                <w:rtl w:val="0"/>
              </w:rPr>
              <w:t xml:space="preserve">Variables</w:t>
            </w:r>
            <w:r w:rsidDel="00000000" w:rsidR="00000000" w:rsidRPr="00000000">
              <w:rPr>
                <w:rtl w:val="0"/>
              </w:rPr>
            </w:r>
          </w:p>
        </w:tc>
        <w:tc>
          <w:tcPr>
            <w:tcBorders>
              <w:top w:color="000000" w:space="0" w:sz="0" w:val="nil"/>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pPr>
            <w:r w:rsidDel="00000000" w:rsidR="00000000" w:rsidRPr="00000000">
              <w:rPr>
                <w:b w:val="1"/>
                <w:bCs w:val="1"/>
                <w:rtl w:val="0"/>
              </w:rPr>
              <w:t xml:space="preserve">Values</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pPr>
            <w:r w:rsidDel="00000000" w:rsidR="00000000" w:rsidRPr="00000000">
              <w:rPr>
                <w:rtl w:val="0"/>
              </w:rPr>
              <w:t xml:space="preserve">eap_available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pPr>
            <w:r w:rsidDel="00000000" w:rsidR="00000000" w:rsidRPr="00000000">
              <w:rPr>
                <w:rtl w:val="0"/>
              </w:rPr>
              <w:t xml:space="preserve">2,241</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pPr>
            <w:r w:rsidDel="00000000" w:rsidR="00000000" w:rsidRPr="00000000">
              <w:rPr>
                <w:rtl w:val="0"/>
              </w:rPr>
              <w:t xml:space="preserve">eap_not_available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pPr>
            <w:r w:rsidDel="00000000" w:rsidR="00000000" w:rsidRPr="00000000">
              <w:rPr>
                <w:rtl w:val="0"/>
              </w:rPr>
              <w:t xml:space="preserve">2,086</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pPr>
            <w:r w:rsidDel="00000000" w:rsidR="00000000" w:rsidRPr="00000000">
              <w:rPr>
                <w:rtl w:val="0"/>
              </w:rPr>
              <w:t xml:space="preserve">eap_users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pPr>
            <w:r w:rsidDel="00000000" w:rsidR="00000000" w:rsidRPr="00000000">
              <w:rPr>
                <w:rtl w:val="0"/>
              </w:rPr>
              <w:t xml:space="preserve">728</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pPr>
            <w:r w:rsidDel="00000000" w:rsidR="00000000" w:rsidRPr="00000000">
              <w:rPr>
                <w:rtl w:val="0"/>
              </w:rPr>
              <w:t xml:space="preserve">eap_non-users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pPr>
            <w:r w:rsidDel="00000000" w:rsidR="00000000" w:rsidRPr="00000000">
              <w:rPr>
                <w:rtl w:val="0"/>
              </w:rPr>
              <w:t xml:space="preserve">1,513</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pPr>
            <w:r w:rsidDel="00000000" w:rsidR="00000000" w:rsidRPr="00000000">
              <w:rPr>
                <w:rtl w:val="0"/>
              </w:rPr>
              <w:t xml:space="preserve">Utilization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pPr>
            <w:r w:rsidDel="00000000" w:rsidR="00000000" w:rsidRPr="00000000">
              <w:rPr>
                <w:rtl w:val="0"/>
              </w:rPr>
              <w:t xml:space="preserve">32.5%</w:t>
            </w:r>
          </w:p>
        </w:tc>
      </w:tr>
    </w:tbl>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tl w:val="0"/>
        </w:rPr>
      </w:r>
    </w:p>
    <w:p w:rsidR="00000000" w:rsidDel="00000000" w:rsidP="00000000" w:rsidRDefault="00000000" w:rsidRPr="00000000" w14:paraId="00000077">
      <w:pPr>
        <w:pStyle w:val="Heading1"/>
        <w:spacing w:after="0" w:line="240" w:lineRule="auto"/>
        <w:rPr/>
      </w:pPr>
      <w:bookmarkStart w:colFirst="0" w:colLast="0" w:name="_22n0u08xip76" w:id="14"/>
      <w:bookmarkEnd w:id="14"/>
      <w:r w:rsidDel="00000000" w:rsidR="00000000" w:rsidRPr="00000000">
        <w:rPr>
          <w:rtl w:val="0"/>
        </w:rPr>
        <w:t xml:space="preserve">Tools Used</w:t>
      </w:r>
    </w:p>
    <w:p w:rsidR="00000000" w:rsidDel="00000000" w:rsidP="00000000" w:rsidRDefault="00000000" w:rsidRPr="00000000" w14:paraId="00000078">
      <w:pPr>
        <w:numPr>
          <w:ilvl w:val="0"/>
          <w:numId w:val="4"/>
        </w:numPr>
        <w:spacing w:after="0" w:before="200" w:line="240" w:lineRule="auto"/>
        <w:ind w:left="720" w:hanging="360"/>
      </w:pPr>
      <w:r w:rsidDel="00000000" w:rsidR="00000000" w:rsidRPr="00000000">
        <w:rPr>
          <w:rtl w:val="0"/>
        </w:rPr>
        <w:t xml:space="preserve">Excel</w:t>
      </w:r>
    </w:p>
    <w:p w:rsidR="00000000" w:rsidDel="00000000" w:rsidP="00000000" w:rsidRDefault="00000000" w:rsidRPr="00000000" w14:paraId="00000079">
      <w:pPr>
        <w:numPr>
          <w:ilvl w:val="0"/>
          <w:numId w:val="4"/>
        </w:numPr>
        <w:spacing w:after="0" w:before="200" w:line="240" w:lineRule="auto"/>
        <w:ind w:left="720" w:hanging="360"/>
      </w:pPr>
      <w:r w:rsidDel="00000000" w:rsidR="00000000" w:rsidRPr="00000000">
        <w:rPr>
          <w:rtl w:val="0"/>
        </w:rPr>
        <w:t xml:space="preserve">Tableau Public</w:t>
      </w:r>
    </w:p>
    <w:p w:rsidR="00000000" w:rsidDel="00000000" w:rsidP="00000000" w:rsidRDefault="00000000" w:rsidRPr="00000000" w14:paraId="0000007A">
      <w:pPr>
        <w:numPr>
          <w:ilvl w:val="0"/>
          <w:numId w:val="4"/>
        </w:numPr>
        <w:spacing w:after="0" w:before="200" w:line="240" w:lineRule="auto"/>
        <w:ind w:left="720" w:hanging="360"/>
      </w:pPr>
      <w:r w:rsidDel="00000000" w:rsidR="00000000" w:rsidRPr="00000000">
        <w:rPr>
          <w:rtl w:val="0"/>
        </w:rPr>
        <w:t xml:space="preserve">Kaggle Workplace Mental Health Dataset</w:t>
      </w:r>
      <w:r w:rsidDel="00000000" w:rsidR="00000000" w:rsidRPr="00000000">
        <w:rPr>
          <w:rtl w:val="0"/>
        </w:rPr>
      </w:r>
    </w:p>
    <w:p w:rsidR="00000000" w:rsidDel="00000000" w:rsidP="00000000" w:rsidRDefault="00000000" w:rsidRPr="00000000" w14:paraId="0000007B">
      <w:pPr>
        <w:pStyle w:val="Heading1"/>
        <w:spacing w:after="0" w:line="240" w:lineRule="auto"/>
        <w:rPr/>
      </w:pPr>
      <w:bookmarkStart w:colFirst="0" w:colLast="0" w:name="_m473vmerf66t" w:id="15"/>
      <w:bookmarkEnd w:id="15"/>
      <w:r w:rsidDel="00000000" w:rsidR="00000000" w:rsidRPr="00000000">
        <w:rPr>
          <w:rtl w:val="0"/>
        </w:rPr>
        <w:t xml:space="preserve">Conclusion</w:t>
      </w:r>
    </w:p>
    <w:p w:rsidR="00000000" w:rsidDel="00000000" w:rsidP="00000000" w:rsidRDefault="00000000" w:rsidRPr="00000000" w14:paraId="0000007C">
      <w:pPr>
        <w:spacing w:after="0" w:line="240" w:lineRule="auto"/>
        <w:rPr/>
      </w:pPr>
      <w:r w:rsidDel="00000000" w:rsidR="00000000" w:rsidRPr="00000000">
        <w:rPr>
          <w:rtl w:val="0"/>
        </w:rPr>
        <w:t xml:space="preserve">The data highlights a significant mental health burden among early-career professionals, characterized by elevated burnout risk, high stress levels, and under-utilization of available support services. These findings provide evidence for the development of the Escale Community Mental Health Signposting Portal, which aims to improve awareness, navigation, and access to mental health resources and peer-support services. </w:t>
      </w:r>
      <w:r w:rsidDel="00000000" w:rsidR="00000000" w:rsidRPr="00000000">
        <w:rPr>
          <w:rtl w:val="0"/>
        </w:rPr>
      </w:r>
    </w:p>
    <w:p w:rsidR="00000000" w:rsidDel="00000000" w:rsidP="00000000" w:rsidRDefault="00000000" w:rsidRPr="00000000" w14:paraId="0000007D">
      <w:pPr>
        <w:pStyle w:val="Heading1"/>
        <w:spacing w:after="0" w:line="240" w:lineRule="auto"/>
        <w:rPr/>
      </w:pPr>
      <w:bookmarkStart w:colFirst="0" w:colLast="0" w:name="_pwk2jf1i7rbv" w:id="16"/>
      <w:bookmarkEnd w:id="16"/>
      <w:r w:rsidDel="00000000" w:rsidR="00000000" w:rsidRPr="00000000">
        <w:rPr>
          <w:sz w:val="28"/>
          <w:szCs w:val="28"/>
          <w:rtl w:val="0"/>
        </w:rPr>
        <w:t xml:space="preserve">Recommendations</w:t>
      </w:r>
      <w:r w:rsidDel="00000000" w:rsidR="00000000" w:rsidRPr="00000000">
        <w:rPr>
          <w:rtl w:val="0"/>
        </w:rPr>
      </w:r>
    </w:p>
    <w:p w:rsidR="00000000" w:rsidDel="00000000" w:rsidP="00000000" w:rsidRDefault="00000000" w:rsidRPr="00000000" w14:paraId="0000007E">
      <w:pPr>
        <w:numPr>
          <w:ilvl w:val="0"/>
          <w:numId w:val="2"/>
        </w:numPr>
        <w:spacing w:after="0" w:before="200" w:line="240" w:lineRule="auto"/>
        <w:ind w:left="720" w:hanging="360"/>
        <w:rPr>
          <w:u w:val="none"/>
        </w:rPr>
      </w:pPr>
      <w:r w:rsidDel="00000000" w:rsidR="00000000" w:rsidRPr="00000000">
        <w:rPr>
          <w:rtl w:val="0"/>
        </w:rPr>
        <w:t xml:space="preserve">Encourage early help-seeking behaviors.</w:t>
      </w:r>
    </w:p>
    <w:p w:rsidR="00000000" w:rsidDel="00000000" w:rsidP="00000000" w:rsidRDefault="00000000" w:rsidRPr="00000000" w14:paraId="0000007F">
      <w:pPr>
        <w:numPr>
          <w:ilvl w:val="0"/>
          <w:numId w:val="2"/>
        </w:numPr>
        <w:spacing w:after="0" w:before="200" w:line="240" w:lineRule="auto"/>
        <w:ind w:left="720" w:hanging="360"/>
        <w:rPr>
          <w:u w:val="none"/>
        </w:rPr>
      </w:pPr>
      <w:r w:rsidDel="00000000" w:rsidR="00000000" w:rsidRPr="00000000">
        <w:rPr>
          <w:rtl w:val="0"/>
        </w:rPr>
        <w:t xml:space="preserve">Improve awareness of available support services.</w:t>
      </w:r>
    </w:p>
    <w:p w:rsidR="00000000" w:rsidDel="00000000" w:rsidP="00000000" w:rsidRDefault="00000000" w:rsidRPr="00000000" w14:paraId="00000080">
      <w:pPr>
        <w:numPr>
          <w:ilvl w:val="0"/>
          <w:numId w:val="2"/>
        </w:numPr>
        <w:spacing w:after="0" w:before="200" w:line="240" w:lineRule="auto"/>
        <w:ind w:left="720" w:right="600" w:hanging="360"/>
      </w:pPr>
      <w:r w:rsidDel="00000000" w:rsidR="00000000" w:rsidRPr="00000000">
        <w:rPr>
          <w:rtl w:val="0"/>
        </w:rPr>
        <w:t xml:space="preserve">Develop a Mental Health Signposting Portal.</w:t>
      </w:r>
    </w:p>
    <w:p w:rsidR="00000000" w:rsidDel="00000000" w:rsidP="00000000" w:rsidRDefault="00000000" w:rsidRPr="00000000" w14:paraId="00000081">
      <w:pPr>
        <w:numPr>
          <w:ilvl w:val="0"/>
          <w:numId w:val="2"/>
        </w:numPr>
        <w:spacing w:after="0" w:before="200" w:line="240" w:lineRule="auto"/>
        <w:ind w:left="720" w:hanging="360"/>
        <w:rPr>
          <w:u w:val="none"/>
        </w:rPr>
      </w:pPr>
      <w:r w:rsidDel="00000000" w:rsidR="00000000" w:rsidRPr="00000000">
        <w:rPr>
          <w:rtl w:val="0"/>
        </w:rPr>
        <w:t xml:space="preserve">Reduce workplace stigma through education and training. </w:t>
      </w:r>
    </w:p>
    <w:p w:rsidR="00000000" w:rsidDel="00000000" w:rsidP="00000000" w:rsidRDefault="00000000" w:rsidRPr="00000000" w14:paraId="00000082">
      <w:pPr>
        <w:numPr>
          <w:ilvl w:val="0"/>
          <w:numId w:val="2"/>
        </w:numPr>
        <w:spacing w:after="0" w:before="200" w:line="240" w:lineRule="auto"/>
        <w:ind w:left="720" w:right="600" w:hanging="360"/>
      </w:pPr>
      <w:r w:rsidDel="00000000" w:rsidR="00000000" w:rsidRPr="00000000">
        <w:rPr>
          <w:rtl w:val="0"/>
        </w:rPr>
        <w:t xml:space="preserve">Target high-risk industries with tailored interventions.</w:t>
      </w:r>
    </w:p>
    <w:p w:rsidR="00000000" w:rsidDel="00000000" w:rsidP="00000000" w:rsidRDefault="00000000" w:rsidRPr="00000000" w14:paraId="00000083">
      <w:pPr>
        <w:pStyle w:val="Heading1"/>
        <w:spacing w:after="0" w:before="240" w:line="240" w:lineRule="auto"/>
        <w:ind w:right="600"/>
        <w:rPr>
          <w:sz w:val="28"/>
          <w:szCs w:val="28"/>
        </w:rPr>
      </w:pPr>
      <w:bookmarkStart w:colFirst="0" w:colLast="0" w:name="_pyc94z7cjfi7" w:id="17"/>
      <w:bookmarkEnd w:id="17"/>
      <w:r w:rsidDel="00000000" w:rsidR="00000000" w:rsidRPr="00000000">
        <w:rPr>
          <w:sz w:val="28"/>
          <w:szCs w:val="28"/>
          <w:rtl w:val="0"/>
        </w:rPr>
        <w:t xml:space="preserve">Proposed Solution</w:t>
      </w:r>
    </w:p>
    <w:p w:rsidR="00000000" w:rsidDel="00000000" w:rsidP="00000000" w:rsidRDefault="00000000" w:rsidRPr="00000000" w14:paraId="00000084">
      <w:pPr>
        <w:pStyle w:val="Subtitle"/>
        <w:spacing w:after="0" w:before="240" w:line="240" w:lineRule="auto"/>
        <w:rPr>
          <w:sz w:val="22"/>
          <w:szCs w:val="22"/>
        </w:rPr>
      </w:pPr>
      <w:bookmarkStart w:colFirst="0" w:colLast="0" w:name="_tpdv39gbae5y" w:id="18"/>
      <w:bookmarkEnd w:id="18"/>
      <w:r w:rsidDel="00000000" w:rsidR="00000000" w:rsidRPr="00000000">
        <w:rPr>
          <w:sz w:val="22"/>
          <w:szCs w:val="22"/>
          <w:rtl w:val="0"/>
        </w:rPr>
        <w:t xml:space="preserve">The portal was designed to address the gaps identified in this analysis, particularly low utilisation of support services, limited awareness of available resources, and challenges in navigating mental health support options. The proposed Community Mental Health Signposting Portal will:</w:t>
      </w:r>
    </w:p>
    <w:p w:rsidR="00000000" w:rsidDel="00000000" w:rsidP="00000000" w:rsidRDefault="00000000" w:rsidRPr="00000000" w14:paraId="00000085">
      <w:pPr>
        <w:pStyle w:val="Subtitle"/>
        <w:numPr>
          <w:ilvl w:val="0"/>
          <w:numId w:val="3"/>
        </w:numPr>
        <w:spacing w:after="0" w:before="240" w:line="240" w:lineRule="auto"/>
        <w:ind w:left="720" w:hanging="360"/>
        <w:rPr>
          <w:sz w:val="22"/>
          <w:szCs w:val="22"/>
        </w:rPr>
      </w:pPr>
      <w:bookmarkStart w:colFirst="0" w:colLast="0" w:name="_tpdv39gbae5y" w:id="18"/>
      <w:bookmarkEnd w:id="18"/>
      <w:r w:rsidDel="00000000" w:rsidR="00000000" w:rsidRPr="00000000">
        <w:rPr>
          <w:sz w:val="22"/>
          <w:szCs w:val="22"/>
          <w:rtl w:val="0"/>
        </w:rPr>
        <w:t xml:space="preserve">Match users to relevant mental health and peer-support services.</w:t>
      </w:r>
    </w:p>
    <w:p w:rsidR="00000000" w:rsidDel="00000000" w:rsidP="00000000" w:rsidRDefault="00000000" w:rsidRPr="00000000" w14:paraId="00000086">
      <w:pPr>
        <w:pStyle w:val="Subtitle"/>
        <w:numPr>
          <w:ilvl w:val="0"/>
          <w:numId w:val="3"/>
        </w:numPr>
        <w:spacing w:after="0" w:before="0" w:line="240" w:lineRule="auto"/>
        <w:ind w:left="720" w:hanging="360"/>
        <w:rPr>
          <w:sz w:val="22"/>
          <w:szCs w:val="22"/>
        </w:rPr>
      </w:pPr>
      <w:bookmarkStart w:colFirst="0" w:colLast="0" w:name="_tpdv39gbae5y" w:id="18"/>
      <w:bookmarkEnd w:id="18"/>
      <w:r w:rsidDel="00000000" w:rsidR="00000000" w:rsidRPr="00000000">
        <w:rPr>
          <w:sz w:val="22"/>
          <w:szCs w:val="22"/>
          <w:rtl w:val="0"/>
        </w:rPr>
        <w:t xml:space="preserve">Provide plain-language guidance on available resources.</w:t>
      </w:r>
    </w:p>
    <w:p w:rsidR="00000000" w:rsidDel="00000000" w:rsidP="00000000" w:rsidRDefault="00000000" w:rsidRPr="00000000" w14:paraId="00000087">
      <w:pPr>
        <w:pStyle w:val="Subtitle"/>
        <w:numPr>
          <w:ilvl w:val="0"/>
          <w:numId w:val="3"/>
        </w:numPr>
        <w:spacing w:after="0" w:before="0" w:line="240" w:lineRule="auto"/>
        <w:ind w:left="720" w:hanging="360"/>
        <w:rPr>
          <w:sz w:val="22"/>
          <w:szCs w:val="22"/>
        </w:rPr>
      </w:pPr>
      <w:bookmarkStart w:colFirst="0" w:colLast="0" w:name="_tpdv39gbae5y" w:id="18"/>
      <w:bookmarkEnd w:id="18"/>
      <w:r w:rsidDel="00000000" w:rsidR="00000000" w:rsidRPr="00000000">
        <w:rPr>
          <w:sz w:val="22"/>
          <w:szCs w:val="22"/>
          <w:rtl w:val="0"/>
        </w:rPr>
        <w:t xml:space="preserve">Improve awareness and navigation of support options.</w:t>
      </w:r>
    </w:p>
    <w:p w:rsidR="00000000" w:rsidDel="00000000" w:rsidP="00000000" w:rsidRDefault="00000000" w:rsidRPr="00000000" w14:paraId="00000088">
      <w:pPr>
        <w:pStyle w:val="Subtitle"/>
        <w:numPr>
          <w:ilvl w:val="0"/>
          <w:numId w:val="3"/>
        </w:numPr>
        <w:spacing w:after="0" w:before="0" w:line="240" w:lineRule="auto"/>
        <w:ind w:left="720" w:hanging="360"/>
        <w:rPr>
          <w:sz w:val="22"/>
          <w:szCs w:val="22"/>
        </w:rPr>
      </w:pPr>
      <w:bookmarkStart w:colFirst="0" w:colLast="0" w:name="_tpdv39gbae5y" w:id="18"/>
      <w:bookmarkEnd w:id="18"/>
      <w:r w:rsidDel="00000000" w:rsidR="00000000" w:rsidRPr="00000000">
        <w:rPr>
          <w:sz w:val="22"/>
          <w:szCs w:val="22"/>
          <w:rtl w:val="0"/>
        </w:rPr>
        <w:t xml:space="preserve">Centralize verified mental health resources in one location.</w:t>
      </w:r>
    </w:p>
    <w:p w:rsidR="00000000" w:rsidDel="00000000" w:rsidP="00000000" w:rsidRDefault="00000000" w:rsidRPr="00000000" w14:paraId="00000089">
      <w:pPr>
        <w:pStyle w:val="Subtitle"/>
        <w:numPr>
          <w:ilvl w:val="0"/>
          <w:numId w:val="3"/>
        </w:numPr>
        <w:spacing w:after="0" w:before="240" w:line="240" w:lineRule="auto"/>
        <w:ind w:left="720" w:hanging="360"/>
        <w:rPr>
          <w:sz w:val="22"/>
          <w:szCs w:val="22"/>
        </w:rPr>
      </w:pPr>
      <w:bookmarkStart w:colFirst="0" w:colLast="0" w:name="_d2s7vywvm9gc" w:id="19"/>
      <w:bookmarkEnd w:id="19"/>
      <w:r w:rsidDel="00000000" w:rsidR="00000000" w:rsidRPr="00000000">
        <w:rPr>
          <w:sz w:val="22"/>
          <w:szCs w:val="22"/>
          <w:rtl w:val="0"/>
        </w:rPr>
        <w:t xml:space="preserve">Help users identify appropriate support based on their needs.</w:t>
      </w:r>
    </w:p>
    <w:p w:rsidR="00000000" w:rsidDel="00000000" w:rsidP="00000000" w:rsidRDefault="00000000" w:rsidRPr="00000000" w14:paraId="0000008A">
      <w:pPr>
        <w:pStyle w:val="Subtitle"/>
        <w:spacing w:after="0" w:before="240" w:line="240" w:lineRule="auto"/>
        <w:ind w:left="720" w:right="600" w:firstLine="0"/>
        <w:rPr>
          <w:sz w:val="30"/>
          <w:szCs w:val="30"/>
        </w:rPr>
      </w:pPr>
      <w:bookmarkStart w:colFirst="0" w:colLast="0" w:name="_tpdv39gbae5y" w:id="18"/>
      <w:bookmarkEnd w:id="18"/>
      <w:r w:rsidDel="00000000" w:rsidR="00000000" w:rsidRPr="00000000">
        <w:rPr>
          <w:rtl w:val="0"/>
        </w:rPr>
      </w:r>
    </w:p>
    <w:p w:rsidR="00000000" w:rsidDel="00000000" w:rsidP="00000000" w:rsidRDefault="00000000" w:rsidRPr="00000000" w14:paraId="0000008B">
      <w:pPr>
        <w:pStyle w:val="Heading1"/>
        <w:spacing w:after="0" w:before="240" w:line="240" w:lineRule="auto"/>
        <w:ind w:right="600"/>
        <w:rPr/>
      </w:pPr>
      <w:bookmarkStart w:colFirst="0" w:colLast="0" w:name="_sarxz9wuun7y" w:id="20"/>
      <w:bookmarkEnd w:id="20"/>
      <w:r w:rsidDel="00000000" w:rsidR="00000000" w:rsidRPr="00000000">
        <w:rPr>
          <w:rtl w:val="0"/>
        </w:rPr>
        <w:t xml:space="preserve">Limitations</w:t>
      </w:r>
    </w:p>
    <w:p w:rsidR="00000000" w:rsidDel="00000000" w:rsidP="00000000" w:rsidRDefault="00000000" w:rsidRPr="00000000" w14:paraId="0000008C">
      <w:pPr>
        <w:numPr>
          <w:ilvl w:val="0"/>
          <w:numId w:val="1"/>
        </w:numPr>
        <w:spacing w:after="0" w:before="240" w:line="240" w:lineRule="auto"/>
        <w:ind w:left="720" w:right="600" w:hanging="360"/>
        <w:rPr>
          <w:u w:val="none"/>
        </w:rPr>
      </w:pPr>
      <w:r w:rsidDel="00000000" w:rsidR="00000000" w:rsidRPr="00000000">
        <w:rPr>
          <w:rtl w:val="0"/>
        </w:rPr>
        <w:t xml:space="preserve">Secondary data was used for this project</w:t>
      </w:r>
    </w:p>
    <w:p w:rsidR="00000000" w:rsidDel="00000000" w:rsidP="00000000" w:rsidRDefault="00000000" w:rsidRPr="00000000" w14:paraId="0000008D">
      <w:pPr>
        <w:numPr>
          <w:ilvl w:val="0"/>
          <w:numId w:val="1"/>
        </w:numPr>
        <w:spacing w:after="0" w:before="0" w:line="240" w:lineRule="auto"/>
        <w:ind w:left="720" w:right="600" w:hanging="360"/>
        <w:rPr>
          <w:u w:val="none"/>
        </w:rPr>
      </w:pPr>
      <w:r w:rsidDel="00000000" w:rsidR="00000000" w:rsidRPr="00000000">
        <w:rPr>
          <w:rtl w:val="0"/>
        </w:rPr>
        <w:t xml:space="preserve">The dataset may not represent all industry sectors equally. </w:t>
      </w:r>
    </w:p>
    <w:p w:rsidR="00000000" w:rsidDel="00000000" w:rsidP="00000000" w:rsidRDefault="00000000" w:rsidRPr="00000000" w14:paraId="0000008E">
      <w:pPr>
        <w:numPr>
          <w:ilvl w:val="0"/>
          <w:numId w:val="1"/>
        </w:numPr>
        <w:spacing w:after="0" w:before="240" w:line="240" w:lineRule="auto"/>
        <w:ind w:left="720" w:right="600" w:hanging="360"/>
        <w:rPr>
          <w:u w:val="none"/>
        </w:rPr>
      </w:pPr>
      <w:r w:rsidDel="00000000" w:rsidR="00000000" w:rsidRPr="00000000">
        <w:rPr>
          <w:rtl w:val="0"/>
        </w:rPr>
        <w:t xml:space="preserve">Findings indicate associations and do not establish causation. </w:t>
      </w:r>
    </w:p>
    <w:p w:rsidR="00000000" w:rsidDel="00000000" w:rsidP="00000000" w:rsidRDefault="00000000" w:rsidRPr="00000000" w14:paraId="0000008F">
      <w:pPr>
        <w:spacing w:after="0" w:line="240" w:lineRule="auto"/>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spacing w:after="0" w:line="24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120" w:before="400" w:lineRule="auto"/>
    </w:pPr>
    <w:rPr>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lic.tableau.com/views/CommunityMentalHealthSignpostingPortalDashboard/Dashboard1?:language=en-US&amp;:sid=&amp;:redirect=auth&amp;:display_count=n&amp;:origin=viz_share_link"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