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354jsrxtbh48" w:id="0"/>
      <w:bookmarkEnd w:id="0"/>
      <w:r w:rsidDel="00000000" w:rsidR="00000000" w:rsidRPr="00000000">
        <w:rPr>
          <w:rtl w:val="0"/>
        </w:rPr>
        <w:t xml:space="preserve">Intro to Cad: Notes #2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Part Design: used to create real world solid models of parts; solid parts are usually created from 2D profiles that are extruded or evolved in order to form a base feature. Lightly integrated with a 2D sketching tool.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*Using Catia to optimize performance from both efficiency and safety point of view. (Make sure design details for component are in place)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Pockets and Mirrored Extent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Assigning the materials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Go step through step in simulations and evaluations of 3D modeling and creating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Load any required templates, and save each model file correctly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As well as in the right format, and right dimensions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how to change the name of a part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Pick the right planes to make it easier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Sketch, and Circle functions when dealing with Catia at a basic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Creating different rings and utilize groove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Demonstrate the right functions and know how to use undo or redo when using Catia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how to utilize dimensions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Utilize the coordinate system when designing in Catia to the right axis and views.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Move the cursor to right origin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Center it to be aligned with the origin (Pick the right angles)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the increments and using snaps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Can pick anywhere rather than the edge (correspond to design)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Set Up right constraints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Knowing geometric constraints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Using cross-sections and rotations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Knowing rotation around the axis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Selective rotation axis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Working on different planes such as x-y, x-z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how to change 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the issues when designing such as additional materials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Doing the right modifications and knowing “Click actions”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when a design have any constraints, as well as the # of constraints, and why a model may not move around.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Know what over-constraints are and any conflicts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Using and utilizing the right constraints geometrically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Sometimes this may require changing the dimensions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Generating cross sections and grouping/groove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Referencing the axis in the profile, and using the correct axises when referencing it (As well as using aligning)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