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E40AF"/>
          <w:sz w:val="56"/>
        </w:rPr>
        <w:t>ETF Quant 量化交易系统</w:t>
      </w:r>
    </w:p>
    <w:p>
      <w:pPr>
        <w:jc w:val="center"/>
      </w:pPr>
      <w:r>
        <w:rPr>
          <w:color w:val="64748B"/>
          <w:sz w:val="28"/>
        </w:rPr>
        <w:t>项目说明书  /  System Specification</w:t>
      </w:r>
    </w:p>
    <w:p/>
    <w:p>
      <w:pPr>
        <w:jc w:val="center"/>
      </w:pPr>
      <w:r>
        <w:t>版本 v1.0   ·   2026年6月</w:t>
      </w:r>
    </w:p>
    <w:p>
      <w:r>
        <w:br w:type="page"/>
      </w:r>
    </w:p>
    <w:p>
      <w:pPr>
        <w:spacing w:before="320" w:after="160"/>
      </w:pPr>
      <w:r>
        <w:rPr>
          <w:b/>
          <w:color w:val="1E40AF"/>
          <w:sz w:val="40"/>
        </w:rPr>
        <w:t>1. 项目概述</w:t>
      </w:r>
    </w:p>
    <w:p>
      <w:pPr>
        <w:spacing w:after="120"/>
      </w:pPr>
      <w:r>
        <w:t>ETF Quant 是一套面向个人投资者的量化交易辅助系统，利用 LightGBM 机器学习模型对 A 股主流 ETF 进行次日涨跌概率预测，自动生成买入候选信号，并通过邮件推送给多位用户。系统配备完整的 Web 管理界面，支持持仓管理、交易记录、历史信号回溯、盘中动态确认和模型参数在线调整。</w:t>
      </w:r>
    </w:p>
    <w:p>
      <w:pPr>
        <w:spacing w:before="240" w:after="120"/>
      </w:pPr>
      <w:r>
        <w:rPr>
          <w:b/>
          <w:color w:val="1D4ED8"/>
          <w:sz w:val="28"/>
        </w:rPr>
        <w:t>1.1 核心功能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D4ED8"/>
          </w:tcPr>
          <w:p>
            <w:r>
              <w:rPr>
                <w:b/>
                <w:color w:val="FFFFFF"/>
              </w:rPr>
              <w:t>功能模块</w:t>
            </w:r>
          </w:p>
        </w:tc>
        <w:tc>
          <w:tcPr>
            <w:tcW w:type="dxa" w:w="6520"/>
            <w:shd w:val="clear" w:color="auto" w:fill="1D4ED8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t>信号生成</w:t>
            </w:r>
          </w:p>
        </w:tc>
        <w:tc>
          <w:tcPr>
            <w:tcW w:type="dxa" w:w="6520"/>
            <w:shd w:val="clear" w:color="auto" w:fill="EFF6FF"/>
          </w:tcPr>
          <w:p>
            <w:r>
              <w:t>每日收盘后基于 30+ 个技术指标特征预测次日涨跌概率，筛选候选池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邮件推送</w:t>
            </w:r>
          </w:p>
        </w:tc>
        <w:tc>
          <w:tcPr>
            <w:tcW w:type="dxa" w:w="6520"/>
            <w:shd w:val="clear" w:color="auto" w:fill="FFFFFF"/>
          </w:tcPr>
          <w:p>
            <w:r>
              <w:t>自动发送个性化日报（含持仓感知建议），支持多用户独立推送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t>盘中确认</w:t>
            </w:r>
          </w:p>
        </w:tc>
        <w:tc>
          <w:tcPr>
            <w:tcW w:type="dxa" w:w="6520"/>
            <w:shd w:val="clear" w:color="auto" w:fill="EFF6FF"/>
          </w:tcPr>
          <w:p>
            <w:r>
              <w:t>开盘/午盘/下午/尾盘四节点动态过滤，减少假信号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持仓管理</w:t>
            </w:r>
          </w:p>
        </w:tc>
        <w:tc>
          <w:tcPr>
            <w:tcW w:type="dxa" w:w="6520"/>
            <w:shd w:val="clear" w:color="auto" w:fill="FFFFFF"/>
          </w:tcPr>
          <w:p>
            <w:r>
              <w:t>Web 界面管理资金、持仓、买卖记录，多账户数据隔离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t>模型调参</w:t>
            </w:r>
          </w:p>
        </w:tc>
        <w:tc>
          <w:tcPr>
            <w:tcW w:type="dxa" w:w="6520"/>
            <w:shd w:val="clear" w:color="auto" w:fill="EFF6FF"/>
          </w:tcPr>
          <w:p>
            <w:r>
              <w:t>在线调整概率门槛、ETF 黑名单、盘中阈值，一键自动校准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回测验证</w:t>
            </w:r>
          </w:p>
        </w:tc>
        <w:tc>
          <w:tcPr>
            <w:tcW w:type="dxa" w:w="6520"/>
            <w:shd w:val="clear" w:color="auto" w:fill="FFFFFF"/>
          </w:tcPr>
          <w:p>
            <w:r>
              <w:t>历史回测模块，评估策略在不同 ETF 和预测周期下的胜率与收益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t>周日预报</w:t>
            </w:r>
          </w:p>
        </w:tc>
        <w:tc>
          <w:tcPr>
            <w:tcW w:type="dxa" w:w="6520"/>
            <w:shd w:val="clear" w:color="auto" w:fill="EFF6FF"/>
          </w:tcPr>
          <w:p>
            <w:r>
              <w:t>每周日用周五数据提前生成周一信号并推送预报邮件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权限管理</w:t>
            </w:r>
          </w:p>
        </w:tc>
        <w:tc>
          <w:tcPr>
            <w:tcW w:type="dxa" w:w="6520"/>
            <w:shd w:val="clear" w:color="auto" w:fill="FFFFFF"/>
          </w:tcPr>
          <w:p>
            <w:r>
              <w:t>管理员/普通用户两级权限，Session Cookie 认证</w:t>
            </w:r>
          </w:p>
        </w:tc>
      </w:tr>
    </w:tbl>
    <w:p/>
    <w:p>
      <w:pPr>
        <w:spacing w:before="240" w:after="120"/>
      </w:pPr>
      <w:r>
        <w:rPr>
          <w:b/>
          <w:color w:val="1D4ED8"/>
          <w:sz w:val="28"/>
        </w:rPr>
        <w:t>1.2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D4ED8"/>
          </w:tcPr>
          <w:p>
            <w:r>
              <w:rPr>
                <w:b/>
                <w:color w:val="FFFFFF"/>
              </w:rPr>
              <w:t>层级</w:t>
            </w:r>
          </w:p>
        </w:tc>
        <w:tc>
          <w:tcPr>
            <w:tcW w:type="dxa" w:w="6520"/>
            <w:shd w:val="clear" w:color="auto" w:fill="1D4ED8"/>
          </w:tcPr>
          <w:p>
            <w:r>
              <w:rPr>
                <w:b/>
                <w:color w:val="FFFFFF"/>
              </w:rPr>
              <w:t>技术选型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t>后端 Web 服务</w:t>
            </w:r>
          </w:p>
        </w:tc>
        <w:tc>
          <w:tcPr>
            <w:tcW w:type="dxa" w:w="6520"/>
            <w:shd w:val="clear" w:color="auto" w:fill="EFF6FF"/>
          </w:tcPr>
          <w:p>
            <w:r>
              <w:t>Python 3.10 + Flask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机器学习</w:t>
            </w:r>
          </w:p>
        </w:tc>
        <w:tc>
          <w:tcPr>
            <w:tcW w:type="dxa" w:w="6520"/>
            <w:shd w:val="clear" w:color="auto" w:fill="FFFFFF"/>
          </w:tcPr>
          <w:p>
            <w:r>
              <w:t>LightGBM + scikit-learn + Optuna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t>行情数据源</w:t>
            </w:r>
          </w:p>
        </w:tc>
        <w:tc>
          <w:tcPr>
            <w:tcW w:type="dxa" w:w="6520"/>
            <w:shd w:val="clear" w:color="auto" w:fill="EFF6FF"/>
          </w:tcPr>
          <w:p>
            <w:r>
              <w:t>AKShare（免费 A 股数据）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数据存储</w:t>
            </w:r>
          </w:p>
        </w:tc>
        <w:tc>
          <w:tcPr>
            <w:tcW w:type="dxa" w:w="6520"/>
            <w:shd w:val="clear" w:color="auto" w:fill="FFFFFF"/>
          </w:tcPr>
          <w:p>
            <w:r>
              <w:t>Parquet（历史行情）+ JSON（持仓/信号/配置）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t>前端框架</w:t>
            </w:r>
          </w:p>
        </w:tc>
        <w:tc>
          <w:tcPr>
            <w:tcW w:type="dxa" w:w="6520"/>
            <w:shd w:val="clear" w:color="auto" w:fill="EFF6FF"/>
          </w:tcPr>
          <w:p>
            <w:r>
              <w:t>Vue 3 (Composition API) + Vite + Tailwind CSS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图表库</w:t>
            </w:r>
          </w:p>
        </w:tc>
        <w:tc>
          <w:tcPr>
            <w:tcW w:type="dxa" w:w="6520"/>
            <w:shd w:val="clear" w:color="auto" w:fill="FFFFFF"/>
          </w:tcPr>
          <w:p>
            <w:r>
              <w:t>Chart.js（K 线 + MA/布林带/RSI/成交量）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t>定时调度</w:t>
            </w:r>
          </w:p>
        </w:tc>
        <w:tc>
          <w:tcPr>
            <w:tcW w:type="dxa" w:w="6520"/>
            <w:shd w:val="clear" w:color="auto" w:fill="EFF6FF"/>
          </w:tcPr>
          <w:p>
            <w:r>
              <w:t>Windows 任务计划程序（Task Scheduler）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邮件推送</w:t>
            </w:r>
          </w:p>
        </w:tc>
        <w:tc>
          <w:tcPr>
            <w:tcW w:type="dxa" w:w="6520"/>
            <w:shd w:val="clear" w:color="auto" w:fill="FFFFFF"/>
          </w:tcPr>
          <w:p>
            <w:r>
              <w:t>163 SMTP（SSL / 授权码认证）</w:t>
            </w:r>
          </w:p>
        </w:tc>
      </w:tr>
    </w:tbl>
    <w:p/>
    <w:p>
      <w:r>
        <w:br w:type="page"/>
      </w:r>
    </w:p>
    <w:p>
      <w:pPr>
        <w:spacing w:before="320" w:after="160"/>
      </w:pPr>
      <w:r>
        <w:rPr>
          <w:b/>
          <w:color w:val="1E40AF"/>
          <w:sz w:val="40"/>
        </w:rPr>
        <w:t>2. 系统架构</w:t>
      </w:r>
    </w:p>
    <w:p>
      <w:pPr>
        <w:spacing w:before="240" w:after="120"/>
      </w:pPr>
      <w:r>
        <w:rPr>
          <w:b/>
          <w:color w:val="1D4ED8"/>
          <w:sz w:val="28"/>
        </w:rPr>
        <w:t>2.1 整体架构</w:t>
      </w:r>
    </w:p>
    <w:p>
      <w:pPr>
        <w:spacing w:after="120"/>
      </w:pPr>
      <w:r>
        <w:t>系统由四个主要层次组成：</w:t>
      </w:r>
    </w:p>
    <w:p>
      <w:pPr>
        <w:pStyle w:val="ListBullet"/>
        <w:spacing w:after="60"/>
        <w:ind w:left="360"/>
      </w:pPr>
      <w:r>
        <w:t>数据层 — AKShare 拉取行情，存为 Parquet 格式，供特征工程读取</w:t>
      </w:r>
    </w:p>
    <w:p>
      <w:pPr>
        <w:pStyle w:val="ListBullet"/>
        <w:spacing w:after="60"/>
        <w:ind w:left="360"/>
      </w:pPr>
      <w:r>
        <w:t>模型层 — 特征工程 → LightGBM 训练/预测 → 信号候选池生成</w:t>
      </w:r>
    </w:p>
    <w:p>
      <w:pPr>
        <w:pStyle w:val="ListBullet"/>
        <w:spacing w:after="60"/>
        <w:ind w:left="360"/>
      </w:pPr>
      <w:r>
        <w:t>服务层 — Flask REST API，提供数据接口，托管前端 SPA</w:t>
      </w:r>
    </w:p>
    <w:p>
      <w:pPr>
        <w:pStyle w:val="ListBullet"/>
        <w:spacing w:after="60"/>
        <w:ind w:left="360"/>
      </w:pPr>
      <w:r>
        <w:t>展示层 — Vue 3 单页应用，提供完整的 Web 管理界面</w:t>
      </w:r>
    </w:p>
    <w:p>
      <w:pPr>
        <w:spacing w:before="240" w:after="120"/>
      </w:pPr>
      <w:r>
        <w:rPr>
          <w:b/>
          <w:color w:val="1D4ED8"/>
          <w:sz w:val="28"/>
        </w:rPr>
        <w:t>2.2 数据流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567"/>
            <w:shd w:val="clear" w:color="auto" w:fill="1D4ED8"/>
          </w:tcPr>
          <w:p>
            <w:r>
              <w:rPr>
                <w:b/>
                <w:color w:val="FFFFFF"/>
              </w:rPr>
              <w:t>步骤</w:t>
            </w:r>
          </w:p>
        </w:tc>
        <w:tc>
          <w:tcPr>
            <w:tcW w:type="dxa" w:w="1984"/>
            <w:shd w:val="clear" w:color="auto" w:fill="1D4ED8"/>
          </w:tcPr>
          <w:p>
            <w:r>
              <w:rPr>
                <w:b/>
                <w:color w:val="FFFFFF"/>
              </w:rPr>
              <w:t>环节</w:t>
            </w:r>
          </w:p>
        </w:tc>
        <w:tc>
          <w:tcPr>
            <w:tcW w:type="dxa" w:w="2268"/>
            <w:shd w:val="clear" w:color="auto" w:fill="1D4ED8"/>
          </w:tcPr>
          <w:p>
            <w:r>
              <w:rPr>
                <w:b/>
                <w:color w:val="FFFFFF"/>
              </w:rPr>
              <w:t>触发时间</w:t>
            </w:r>
          </w:p>
        </w:tc>
        <w:tc>
          <w:tcPr>
            <w:tcW w:type="dxa" w:w="3969"/>
            <w:shd w:val="clear" w:color="auto" w:fill="1D4ED8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567"/>
            <w:shd w:val="clear" w:color="auto" w:fill="EFF6FF"/>
          </w:tcPr>
          <w:p>
            <w:r>
              <w:t>1</w:t>
            </w:r>
          </w:p>
        </w:tc>
        <w:tc>
          <w:tcPr>
            <w:tcW w:type="dxa" w:w="1984"/>
            <w:shd w:val="clear" w:color="auto" w:fill="EFF6FF"/>
          </w:tcPr>
          <w:p>
            <w:r>
              <w:t>AKShare 行情拉取</w:t>
            </w:r>
          </w:p>
        </w:tc>
        <w:tc>
          <w:tcPr>
            <w:tcW w:type="dxa" w:w="2268"/>
            <w:shd w:val="clear" w:color="auto" w:fill="EFF6FF"/>
          </w:tcPr>
          <w:p>
            <w:r>
              <w:t>每日/按需</w:t>
            </w:r>
          </w:p>
        </w:tc>
        <w:tc>
          <w:tcPr>
            <w:tcW w:type="dxa" w:w="3969"/>
            <w:shd w:val="clear" w:color="auto" w:fill="EFF6FF"/>
          </w:tcPr>
          <w:p>
            <w:r>
              <w:t>获取 ETF 历史收盘 OHLCV，存为 Parquet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t>2</w:t>
            </w:r>
          </w:p>
        </w:tc>
        <w:tc>
          <w:tcPr>
            <w:tcW w:type="dxa" w:w="1984"/>
            <w:shd w:val="clear" w:color="auto" w:fill="FFFFFF"/>
          </w:tcPr>
          <w:p>
            <w:r>
              <w:t>特征工程</w:t>
            </w:r>
          </w:p>
        </w:tc>
        <w:tc>
          <w:tcPr>
            <w:tcW w:type="dxa" w:w="2268"/>
            <w:shd w:val="clear" w:color="auto" w:fill="FFFFFF"/>
          </w:tcPr>
          <w:p>
            <w:r>
              <w:t>每次预测前</w:t>
            </w:r>
          </w:p>
        </w:tc>
        <w:tc>
          <w:tcPr>
            <w:tcW w:type="dxa" w:w="3969"/>
            <w:shd w:val="clear" w:color="auto" w:fill="FFFFFF"/>
          </w:tcPr>
          <w:p>
            <w:r>
              <w:t>计算 MA、MACD、RSI、布林带、ATR、量比等 30+ 特征</w:t>
            </w:r>
          </w:p>
        </w:tc>
      </w:tr>
      <w:tr>
        <w:tc>
          <w:tcPr>
            <w:tcW w:type="dxa" w:w="567"/>
            <w:shd w:val="clear" w:color="auto" w:fill="EFF6FF"/>
          </w:tcPr>
          <w:p>
            <w:r>
              <w:t>3</w:t>
            </w:r>
          </w:p>
        </w:tc>
        <w:tc>
          <w:tcPr>
            <w:tcW w:type="dxa" w:w="1984"/>
            <w:shd w:val="clear" w:color="auto" w:fill="EFF6FF"/>
          </w:tcPr>
          <w:p>
            <w:r>
              <w:t>模型预测</w:t>
            </w:r>
          </w:p>
        </w:tc>
        <w:tc>
          <w:tcPr>
            <w:tcW w:type="dxa" w:w="2268"/>
            <w:shd w:val="clear" w:color="auto" w:fill="EFF6FF"/>
          </w:tcPr>
          <w:p>
            <w:r>
              <w:t>每日 15:35</w:t>
            </w:r>
          </w:p>
        </w:tc>
        <w:tc>
          <w:tcPr>
            <w:tcW w:type="dxa" w:w="3969"/>
            <w:shd w:val="clear" w:color="auto" w:fill="EFF6FF"/>
          </w:tcPr>
          <w:p>
            <w:r>
              <w:t>LightGBM 输出每只 ETF 次日上涨概率，过滤低于阈值品种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t>4</w:t>
            </w:r>
          </w:p>
        </w:tc>
        <w:tc>
          <w:tcPr>
            <w:tcW w:type="dxa" w:w="1984"/>
            <w:shd w:val="clear" w:color="auto" w:fill="FFFFFF"/>
          </w:tcPr>
          <w:p>
            <w:r>
              <w:t>动态阈值校准</w:t>
            </w:r>
          </w:p>
        </w:tc>
        <w:tc>
          <w:tcPr>
            <w:tcW w:type="dxa" w:w="2268"/>
            <w:shd w:val="clear" w:color="auto" w:fill="FFFFFF"/>
          </w:tcPr>
          <w:p>
            <w:r>
              <w:t>每日 15:35</w:t>
            </w:r>
          </w:p>
        </w:tc>
        <w:tc>
          <w:tcPr>
            <w:tcW w:type="dxa" w:w="3969"/>
            <w:shd w:val="clear" w:color="auto" w:fill="FFFFFF"/>
          </w:tcPr>
          <w:p>
            <w:r>
              <w:t>基于近 N 交易日市场数据自动推算盘中确认参数</w:t>
            </w:r>
          </w:p>
        </w:tc>
      </w:tr>
      <w:tr>
        <w:tc>
          <w:tcPr>
            <w:tcW w:type="dxa" w:w="567"/>
            <w:shd w:val="clear" w:color="auto" w:fill="EFF6FF"/>
          </w:tcPr>
          <w:p>
            <w:r>
              <w:t>5</w:t>
            </w:r>
          </w:p>
        </w:tc>
        <w:tc>
          <w:tcPr>
            <w:tcW w:type="dxa" w:w="1984"/>
            <w:shd w:val="clear" w:color="auto" w:fill="EFF6FF"/>
          </w:tcPr>
          <w:p>
            <w:r>
              <w:t>信号候选池</w:t>
            </w:r>
          </w:p>
        </w:tc>
        <w:tc>
          <w:tcPr>
            <w:tcW w:type="dxa" w:w="2268"/>
            <w:shd w:val="clear" w:color="auto" w:fill="EFF6FF"/>
          </w:tcPr>
          <w:p>
            <w:r>
              <w:t>每日 15:36</w:t>
            </w:r>
          </w:p>
        </w:tc>
        <w:tc>
          <w:tcPr>
            <w:tcW w:type="dxa" w:w="3969"/>
            <w:shd w:val="clear" w:color="auto" w:fill="EFF6FF"/>
          </w:tcPr>
          <w:p>
            <w:r>
              <w:t>通过门槛的 ETF 写入 candidates.json，归档历史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t>6</w:t>
            </w:r>
          </w:p>
        </w:tc>
        <w:tc>
          <w:tcPr>
            <w:tcW w:type="dxa" w:w="1984"/>
            <w:shd w:val="clear" w:color="auto" w:fill="FFFFFF"/>
          </w:tcPr>
          <w:p>
            <w:r>
              <w:t>持仓感知建议</w:t>
            </w:r>
          </w:p>
        </w:tc>
        <w:tc>
          <w:tcPr>
            <w:tcW w:type="dxa" w:w="2268"/>
            <w:shd w:val="clear" w:color="auto" w:fill="FFFFFF"/>
          </w:tcPr>
          <w:p>
            <w:r>
              <w:t>每次推送</w:t>
            </w:r>
          </w:p>
        </w:tc>
        <w:tc>
          <w:tcPr>
            <w:tcW w:type="dxa" w:w="3969"/>
            <w:shd w:val="clear" w:color="auto" w:fill="FFFFFF"/>
          </w:tcPr>
          <w:p>
            <w:r>
              <w:t>结合用户持仓，生成个性化操作建议</w:t>
            </w:r>
          </w:p>
        </w:tc>
      </w:tr>
      <w:tr>
        <w:tc>
          <w:tcPr>
            <w:tcW w:type="dxa" w:w="567"/>
            <w:shd w:val="clear" w:color="auto" w:fill="EFF6FF"/>
          </w:tcPr>
          <w:p>
            <w:r>
              <w:t>7</w:t>
            </w:r>
          </w:p>
        </w:tc>
        <w:tc>
          <w:tcPr>
            <w:tcW w:type="dxa" w:w="1984"/>
            <w:shd w:val="clear" w:color="auto" w:fill="EFF6FF"/>
          </w:tcPr>
          <w:p>
            <w:r>
              <w:t>邮件推送</w:t>
            </w:r>
          </w:p>
        </w:tc>
        <w:tc>
          <w:tcPr>
            <w:tcW w:type="dxa" w:w="2268"/>
            <w:shd w:val="clear" w:color="auto" w:fill="EFF6FF"/>
          </w:tcPr>
          <w:p>
            <w:r>
              <w:t>每日 15:37</w:t>
            </w:r>
          </w:p>
        </w:tc>
        <w:tc>
          <w:tcPr>
            <w:tcW w:type="dxa" w:w="3969"/>
            <w:shd w:val="clear" w:color="auto" w:fill="EFF6FF"/>
          </w:tcPr>
          <w:p>
            <w:r>
              <w:t>生成 HTML 日报，通过 163 SMTP 发送给所有用户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t>8</w:t>
            </w:r>
          </w:p>
        </w:tc>
        <w:tc>
          <w:tcPr>
            <w:tcW w:type="dxa" w:w="1984"/>
            <w:shd w:val="clear" w:color="auto" w:fill="FFFFFF"/>
          </w:tcPr>
          <w:p>
            <w:r>
              <w:t>盘中四节点确认</w:t>
            </w:r>
          </w:p>
        </w:tc>
        <w:tc>
          <w:tcPr>
            <w:tcW w:type="dxa" w:w="2268"/>
            <w:shd w:val="clear" w:color="auto" w:fill="FFFFFF"/>
          </w:tcPr>
          <w:p>
            <w:r>
              <w:t>09:25/11:25/13:05/14:50</w:t>
            </w:r>
          </w:p>
        </w:tc>
        <w:tc>
          <w:tcPr>
            <w:tcW w:type="dxa" w:w="3969"/>
            <w:shd w:val="clear" w:color="auto" w:fill="FFFFFF"/>
          </w:tcPr>
          <w:p>
            <w:r>
              <w:t>基于实时行情对候选信号做二次过滤推送</w:t>
            </w:r>
          </w:p>
        </w:tc>
      </w:tr>
    </w:tbl>
    <w:p/>
    <w:p>
      <w:pPr>
        <w:spacing w:before="240" w:after="120"/>
      </w:pPr>
      <w:r>
        <w:rPr>
          <w:b/>
          <w:color w:val="1D4ED8"/>
          <w:sz w:val="28"/>
        </w:rPr>
        <w:t>2.3 目录结构</w:t>
      </w:r>
    </w:p>
    <w:p>
      <w:pPr>
        <w:spacing w:before="80" w:after="80"/>
        <w:ind w:left="432"/>
      </w:pPr>
      <w:r>
        <w:rPr>
          <w:rFonts w:ascii="Courier New" w:hAnsi="Courier New"/>
          <w:color w:val="0F172A"/>
          <w:sz w:val="18"/>
        </w:rPr>
        <w:t>AI_PROJECT/</w:t>
        <w:br/>
        <w:t>├── config.py                  # 敏感配置（不入库）</w:t>
        <w:br/>
        <w:t>├── config.example.py          # 配置模板</w:t>
        <w:br/>
        <w:t>├── web_app.py                 # Flask 主服务 + 所有 REST API</w:t>
        <w:br/>
        <w:t>├── run_daily.py               # 每日收盘任务（周一至五 15:35）</w:t>
        <w:br/>
        <w:t>├── run_weekly.py              # 每周日：重训+校准+周一信号预报</w:t>
        <w:br/>
        <w:t>├── run_monthly.py             # 每月第一个周日：Optuna 超参数搜索</w:t>
        <w:br/>
        <w:t>├── requirements.txt</w:t>
        <w:br/>
        <w:t>├── setup_scheduler.ps1        # 一键创建 Windows 定时任务</w:t>
        <w:br/>
        <w:t>│</w:t>
        <w:br/>
        <w:t>├── quant/</w:t>
        <w:br/>
        <w:t>│   ├── data/                  # 行情数据获取与实时监控</w:t>
        <w:br/>
        <w:t>│   ├── features/              # 技术指标特征工程</w:t>
        <w:br/>
        <w:t>│   ├── models/                # LightGBM 训练与 Optuna 调优</w:t>
        <w:br/>
        <w:t>│   ├── signals/               # 信号生成、校准、盘中确认、推送</w:t>
        <w:br/>
        <w:t>│   ├── portfolio/             # 持仓管理与个性化建议</w:t>
        <w:br/>
        <w:t>│   └── backtest/              # 历史回测</w:t>
        <w:br/>
        <w:t>│</w:t>
        <w:br/>
        <w:t>├── portfolios/                # 用户持仓 JSON（不入库）</w:t>
        <w:br/>
        <w:t>├── signals/                   # 每日信号候选文件（不入库）</w:t>
        <w:br/>
        <w:t>└── frontend/                  # Vue 3 SPA</w:t>
      </w:r>
    </w:p>
    <w:p>
      <w:r>
        <w:br w:type="page"/>
      </w:r>
    </w:p>
    <w:p>
      <w:pPr>
        <w:spacing w:before="320" w:after="160"/>
      </w:pPr>
      <w:r>
        <w:rPr>
          <w:b/>
          <w:color w:val="1E40AF"/>
          <w:sz w:val="40"/>
        </w:rPr>
        <w:t>3. 模块说明</w:t>
      </w:r>
    </w:p>
    <w:p>
      <w:pPr>
        <w:spacing w:before="240" w:after="120"/>
      </w:pPr>
      <w:r>
        <w:rPr>
          <w:b/>
          <w:color w:val="1D4ED8"/>
          <w:sz w:val="28"/>
        </w:rPr>
        <w:t>3.1 数据模块 (quant/data)</w:t>
      </w:r>
    </w:p>
    <w:p>
      <w:pPr>
        <w:spacing w:before="160" w:after="80"/>
      </w:pPr>
      <w:r>
        <w:rPr>
          <w:b/>
          <w:color w:val="374A63"/>
          <w:sz w:val="24"/>
        </w:rPr>
        <w:t>fetch_historical.py</w:t>
      </w:r>
    </w:p>
    <w:p>
      <w:pPr>
        <w:spacing w:after="120"/>
      </w:pPr>
      <w:r>
        <w:t>通过 AKShare 拉取 ETF 历史日线数据（OHLCV），以 Parquet 格式存储。默认拉取最近 3 年数据（可在 config.py 调整）。提供 load(code) 函数供其他模块读取。</w:t>
      </w:r>
    </w:p>
    <w:p>
      <w:pPr>
        <w:spacing w:before="160" w:after="80"/>
      </w:pPr>
      <w:r>
        <w:rPr>
          <w:b/>
          <w:color w:val="374A63"/>
          <w:sz w:val="24"/>
        </w:rPr>
        <w:t>realtime_monitor.py</w:t>
      </w:r>
    </w:p>
    <w:p>
      <w:pPr>
        <w:spacing w:after="120"/>
      </w:pPr>
      <w:r>
        <w:t>盘中实时行情轮询模块，每 5 分钟通过 AKShare 获取最新分钟级数据，供盘中四节点确认脚本调用。</w:t>
      </w:r>
    </w:p>
    <w:p>
      <w:pPr>
        <w:spacing w:before="240" w:after="120"/>
      </w:pPr>
      <w:r>
        <w:rPr>
          <w:b/>
          <w:color w:val="1D4ED8"/>
          <w:sz w:val="28"/>
        </w:rPr>
        <w:t>3.2 特征工程 (quant/features/engineer.py)</w:t>
      </w:r>
    </w:p>
    <w:p>
      <w:pPr>
        <w:spacing w:after="120"/>
      </w:pPr>
      <w:r>
        <w:t>基于历史 OHLCV 数据计算以下技术指标特征：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D4ED8"/>
          </w:tcPr>
          <w:p>
            <w:r>
              <w:rPr>
                <w:b/>
                <w:color w:val="FFFFFF"/>
              </w:rPr>
              <w:t>特征类别</w:t>
            </w:r>
          </w:p>
        </w:tc>
        <w:tc>
          <w:tcPr>
            <w:tcW w:type="dxa" w:w="7087"/>
            <w:shd w:val="clear" w:color="auto" w:fill="1D4ED8"/>
          </w:tcPr>
          <w:p>
            <w:r>
              <w:rPr>
                <w:b/>
                <w:color w:val="FFFFFF"/>
              </w:rPr>
              <w:t>具体指标</w:t>
            </w:r>
          </w:p>
        </w:tc>
      </w:tr>
      <w:tr>
        <w:tc>
          <w:tcPr>
            <w:tcW w:type="dxa" w:w="1701"/>
            <w:shd w:val="clear" w:color="auto" w:fill="EFF6FF"/>
          </w:tcPr>
          <w:p>
            <w:r>
              <w:t>趋势</w:t>
            </w:r>
          </w:p>
        </w:tc>
        <w:tc>
          <w:tcPr>
            <w:tcW w:type="dxa" w:w="7087"/>
            <w:shd w:val="clear" w:color="auto" w:fill="EFF6FF"/>
          </w:tcPr>
          <w:p>
            <w:r>
              <w:t>MA5/MA10/MA20/MA60，EMA12/EMA26，MACD 及 Signal/Hist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t>波动</w:t>
            </w:r>
          </w:p>
        </w:tc>
        <w:tc>
          <w:tcPr>
            <w:tcW w:type="dxa" w:w="7087"/>
            <w:shd w:val="clear" w:color="auto" w:fill="FFFFFF"/>
          </w:tcPr>
          <w:p>
            <w:r>
              <w:t>ATR14，布林带上/中/下轨，Squeeze 指标</w:t>
            </w:r>
          </w:p>
        </w:tc>
      </w:tr>
      <w:tr>
        <w:tc>
          <w:tcPr>
            <w:tcW w:type="dxa" w:w="1701"/>
            <w:shd w:val="clear" w:color="auto" w:fill="EFF6FF"/>
          </w:tcPr>
          <w:p>
            <w:r>
              <w:t>动量</w:t>
            </w:r>
          </w:p>
        </w:tc>
        <w:tc>
          <w:tcPr>
            <w:tcW w:type="dxa" w:w="7087"/>
            <w:shd w:val="clear" w:color="auto" w:fill="EFF6FF"/>
          </w:tcPr>
          <w:p>
            <w:r>
              <w:t>RSI14，KDJ(K/D/J)，ROC5/ROC10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t>成交量</w:t>
            </w:r>
          </w:p>
        </w:tc>
        <w:tc>
          <w:tcPr>
            <w:tcW w:type="dxa" w:w="7087"/>
            <w:shd w:val="clear" w:color="auto" w:fill="FFFFFF"/>
          </w:tcPr>
          <w:p>
            <w:r>
              <w:t>量比（Vol/MA20_Vol），OBV，VWAP</w:t>
            </w:r>
          </w:p>
        </w:tc>
      </w:tr>
      <w:tr>
        <w:tc>
          <w:tcPr>
            <w:tcW w:type="dxa" w:w="1701"/>
            <w:shd w:val="clear" w:color="auto" w:fill="EFF6FF"/>
          </w:tcPr>
          <w:p>
            <w:r>
              <w:t>价格位置</w:t>
            </w:r>
          </w:p>
        </w:tc>
        <w:tc>
          <w:tcPr>
            <w:tcW w:type="dxa" w:w="7087"/>
            <w:shd w:val="clear" w:color="auto" w:fill="EFF6FF"/>
          </w:tcPr>
          <w:p>
            <w:r>
              <w:t>距 MA20/MA60 偏离度，52 周高低点位置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t>标签</w:t>
            </w:r>
          </w:p>
        </w:tc>
        <w:tc>
          <w:tcPr>
            <w:tcW w:type="dxa" w:w="7087"/>
            <w:shd w:val="clear" w:color="auto" w:fill="FFFFFF"/>
          </w:tcPr>
          <w:p>
            <w:r>
              <w:t>未来 N 日涨幅是否超过阈值（二分类标签）</w:t>
            </w:r>
          </w:p>
        </w:tc>
      </w:tr>
    </w:tbl>
    <w:p/>
    <w:p>
      <w:pPr>
        <w:spacing w:before="240" w:after="120"/>
      </w:pPr>
      <w:r>
        <w:rPr>
          <w:b/>
          <w:color w:val="1D4ED8"/>
          <w:sz w:val="28"/>
        </w:rPr>
        <w:t>3.3 模型模块 (quant/models)</w:t>
      </w:r>
    </w:p>
    <w:p>
      <w:pPr>
        <w:spacing w:before="160" w:after="80"/>
      </w:pPr>
      <w:r>
        <w:rPr>
          <w:b/>
          <w:color w:val="374A63"/>
          <w:sz w:val="24"/>
        </w:rPr>
        <w:t>trainer.py</w:t>
      </w:r>
    </w:p>
    <w:p>
      <w:pPr>
        <w:spacing w:after="120"/>
      </w:pPr>
      <w:r>
        <w:t>使用 LightGBM 进行二分类训练（次日/N日后是否上涨）。支持滚动时间序列交叉验证，避免未来数据泄露。训练完成后模型保存为 quant/models/saved/lgbm_forward{N}.pkl，每周日自动重训。</w:t>
      </w:r>
    </w:p>
    <w:p>
      <w:pPr>
        <w:spacing w:before="160" w:after="80"/>
      </w:pPr>
      <w:r>
        <w:rPr>
          <w:b/>
          <w:color w:val="374A63"/>
          <w:sz w:val="24"/>
        </w:rPr>
        <w:t>tuner.py</w:t>
      </w:r>
    </w:p>
    <w:p>
      <w:pPr>
        <w:spacing w:after="120"/>
      </w:pPr>
      <w:r>
        <w:t>使用 Optuna 进行超参数自动搜索（每月第一个周日运行）。搜索 num_leaves、max_depth、learning_rate、feature_fraction 等关键超参数，搜索完成后将最优参数用于下次重训。</w:t>
      </w:r>
    </w:p>
    <w:p>
      <w:pPr>
        <w:spacing w:before="240" w:after="120"/>
      </w:pPr>
      <w:r>
        <w:rPr>
          <w:b/>
          <w:color w:val="1D4ED8"/>
          <w:sz w:val="28"/>
        </w:rPr>
        <w:t>3.4 信号模块 (quant/signals)</w:t>
      </w:r>
    </w:p>
    <w:p>
      <w:pPr>
        <w:spacing w:before="160" w:after="80"/>
      </w:pPr>
      <w:r>
        <w:rPr>
          <w:b/>
          <w:color w:val="374A63"/>
          <w:sz w:val="24"/>
        </w:rPr>
        <w:t>generator.py</w:t>
      </w:r>
    </w:p>
    <w:p>
      <w:pPr>
        <w:spacing w:after="120"/>
      </w:pPr>
      <w:r>
        <w:t>调用训练好的 LightGBM 模型对所有追踪 ETF 进行批量预测，过滤掉做多概率低于 prob_threshold 及黑名单内的品种，输出信号候选池并写入 signals/candidates.json，同时归档历史。</w:t>
      </w:r>
    </w:p>
    <w:p>
      <w:pPr>
        <w:spacing w:before="160" w:after="80"/>
      </w:pPr>
      <w:r>
        <w:rPr>
          <w:b/>
          <w:color w:val="374A63"/>
          <w:sz w:val="24"/>
        </w:rPr>
        <w:t>calibrator.py</w:t>
      </w:r>
    </w:p>
    <w:p>
      <w:pPr>
        <w:spacing w:after="120"/>
      </w:pPr>
      <w:r>
        <w:t>动态阈值校准模块。基于近 N 个交易日的市场数据统计分布，自动推算盘中各节点的最优过滤阈值，结果保存至 signals/thresholds.json。</w:t>
      </w:r>
    </w:p>
    <w:p>
      <w:pPr>
        <w:spacing w:before="160" w:after="80"/>
      </w:pPr>
      <w:r>
        <w:rPr>
          <w:b/>
          <w:color w:val="374A63"/>
          <w:sz w:val="24"/>
        </w:rPr>
        <w:t>intraday.py — 盘中四节点确认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1D4ED8"/>
          </w:tcPr>
          <w:p>
            <w:r>
              <w:rPr>
                <w:b/>
                <w:color w:val="FFFFFF"/>
              </w:rPr>
              <w:t>节点</w:t>
            </w:r>
          </w:p>
        </w:tc>
        <w:tc>
          <w:tcPr>
            <w:tcW w:type="dxa" w:w="1134"/>
            <w:shd w:val="clear" w:color="auto" w:fill="1D4ED8"/>
          </w:tcPr>
          <w:p>
            <w:r>
              <w:rPr>
                <w:b/>
                <w:color w:val="FFFFFF"/>
              </w:rPr>
              <w:t>时间</w:t>
            </w:r>
          </w:p>
        </w:tc>
        <w:tc>
          <w:tcPr>
            <w:tcW w:type="dxa" w:w="6236"/>
            <w:shd w:val="clear" w:color="auto" w:fill="1D4ED8"/>
          </w:tcPr>
          <w:p>
            <w:r>
              <w:rPr>
                <w:b/>
                <w:color w:val="FFFFFF"/>
              </w:rPr>
              <w:t>过滤条件</w:t>
            </w:r>
          </w:p>
        </w:tc>
      </w:tr>
      <w:tr>
        <w:tc>
          <w:tcPr>
            <w:tcW w:type="dxa" w:w="1417"/>
            <w:shd w:val="clear" w:color="auto" w:fill="EFF6FF"/>
          </w:tcPr>
          <w:p>
            <w:r>
              <w:t>开盘竞价</w:t>
            </w:r>
          </w:p>
        </w:tc>
        <w:tc>
          <w:tcPr>
            <w:tcW w:type="dxa" w:w="1134"/>
            <w:shd w:val="clear" w:color="auto" w:fill="EFF6FF"/>
          </w:tcPr>
          <w:p>
            <w:r>
              <w:t>09:25</w:t>
            </w:r>
          </w:p>
        </w:tc>
        <w:tc>
          <w:tcPr>
            <w:tcW w:type="dxa" w:w="6236"/>
            <w:shd w:val="clear" w:color="auto" w:fill="EFF6FF"/>
          </w:tcPr>
          <w:p>
            <w:r>
              <w:t>量比 ≥ open_vol_ratio_min，开盘涨幅 ≥ open_pct_min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t>午盘前</w:t>
            </w:r>
          </w:p>
        </w:tc>
        <w:tc>
          <w:tcPr>
            <w:tcW w:type="dxa" w:w="1134"/>
            <w:shd w:val="clear" w:color="auto" w:fill="FFFFFF"/>
          </w:tcPr>
          <w:p>
            <w:r>
              <w:t>11:25</w:t>
            </w:r>
          </w:p>
        </w:tc>
        <w:tc>
          <w:tcPr>
            <w:tcW w:type="dxa" w:w="6236"/>
            <w:shd w:val="clear" w:color="auto" w:fill="FFFFFF"/>
          </w:tcPr>
          <w:p>
            <w:r>
              <w:t>amend_pct_min ≤ 涨幅 ≤ amend_pct_max</w:t>
            </w:r>
          </w:p>
        </w:tc>
      </w:tr>
      <w:tr>
        <w:tc>
          <w:tcPr>
            <w:tcW w:type="dxa" w:w="1417"/>
            <w:shd w:val="clear" w:color="auto" w:fill="EFF6FF"/>
          </w:tcPr>
          <w:p>
            <w:r>
              <w:t>下午开盘</w:t>
            </w:r>
          </w:p>
        </w:tc>
        <w:tc>
          <w:tcPr>
            <w:tcW w:type="dxa" w:w="1134"/>
            <w:shd w:val="clear" w:color="auto" w:fill="EFF6FF"/>
          </w:tcPr>
          <w:p>
            <w:r>
              <w:t>13:05</w:t>
            </w:r>
          </w:p>
        </w:tc>
        <w:tc>
          <w:tcPr>
            <w:tcW w:type="dxa" w:w="6236"/>
            <w:shd w:val="clear" w:color="auto" w:fill="EFF6FF"/>
          </w:tcPr>
          <w:p>
            <w:r>
              <w:t>pm_pct_min ≤ 涨幅 ≤ pm_pct_max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t>尾盘</w:t>
            </w:r>
          </w:p>
        </w:tc>
        <w:tc>
          <w:tcPr>
            <w:tcW w:type="dxa" w:w="1134"/>
            <w:shd w:val="clear" w:color="auto" w:fill="FFFFFF"/>
          </w:tcPr>
          <w:p>
            <w:r>
              <w:t>14:50</w:t>
            </w:r>
          </w:p>
        </w:tc>
        <w:tc>
          <w:tcPr>
            <w:tcW w:type="dxa" w:w="6236"/>
            <w:shd w:val="clear" w:color="auto" w:fill="FFFFFF"/>
          </w:tcPr>
          <w:p>
            <w:r>
              <w:t>涨幅 ≥ close_strong_pct，从高点回落 ≤ close_dd_threshold</w:t>
            </w:r>
          </w:p>
        </w:tc>
      </w:tr>
    </w:tbl>
    <w:p/>
    <w:p>
      <w:pPr>
        <w:spacing w:before="160" w:after="80"/>
      </w:pPr>
      <w:r>
        <w:rPr>
          <w:b/>
          <w:color w:val="374A63"/>
          <w:sz w:val="24"/>
        </w:rPr>
        <w:t>notifier.py</w:t>
      </w:r>
    </w:p>
    <w:p>
      <w:pPr>
        <w:spacing w:after="120"/>
      </w:pPr>
      <w:r>
        <w:t>邮件格式化与发送模块。生成 HTML 格式日报（含信号列表、持仓感知建议），通过 163 SMTP（SSL）发送。支持 subject_prefix 参数区分日报和周一预报。</w:t>
      </w:r>
    </w:p>
    <w:p>
      <w:pPr>
        <w:spacing w:before="240" w:after="120"/>
      </w:pPr>
      <w:r>
        <w:rPr>
          <w:b/>
          <w:color w:val="1D4ED8"/>
          <w:sz w:val="28"/>
        </w:rPr>
        <w:t>3.5 持仓模块 (quant/portfolio/manager.py)</w:t>
      </w:r>
    </w:p>
    <w:p>
      <w:pPr>
        <w:spacing w:after="120"/>
      </w:pPr>
      <w:r>
        <w:t>多用户持仓管理模块。每位用户的持仓数据独立存储于 portfolios/{name}.json，包含现金余额、仓位上限、持仓列表、自选列表。advise_for_user() 函数结合用户持仓对信号进行个性化标注（建议买入/加仓/观望等）。</w:t>
      </w:r>
    </w:p>
    <w:p>
      <w:pPr>
        <w:spacing w:before="240" w:after="120"/>
      </w:pPr>
      <w:r>
        <w:rPr>
          <w:b/>
          <w:color w:val="1D4ED8"/>
          <w:sz w:val="28"/>
        </w:rPr>
        <w:t>3.6 回测模块 (quant/backtest/runner.py)</w:t>
      </w:r>
    </w:p>
    <w:p>
      <w:pPr>
        <w:spacing w:after="120"/>
      </w:pPr>
      <w:r>
        <w:t>历史回测模块。使用 vectorbt 对不同 ETF 和预测周期（forward=3/5/10）进行回测，输出胜率、年化收益、Sharpe 比率、最大回撤等指标，结果保存为 JSON 文件。</w:t>
      </w:r>
    </w:p>
    <w:p>
      <w:r>
        <w:br w:type="page"/>
      </w:r>
    </w:p>
    <w:p>
      <w:pPr>
        <w:spacing w:before="320" w:after="160"/>
      </w:pPr>
      <w:r>
        <w:rPr>
          <w:b/>
          <w:color w:val="1E40AF"/>
          <w:sz w:val="40"/>
        </w:rPr>
        <w:t>4. Web 界面说明</w:t>
      </w:r>
    </w:p>
    <w:p>
      <w:pPr>
        <w:spacing w:after="120"/>
      </w:pPr>
      <w:r>
        <w:t>Web 界面为 Vue 3 单页应用（SPA），由 Flask 托管产物目录（frontend/dist）。所有路由指向 index.html，由前端 Router 控制页面切换。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1D4ED8"/>
          </w:tcPr>
          <w:p>
            <w:r>
              <w:rPr>
                <w:b/>
                <w:color w:val="FFFFFF"/>
              </w:rPr>
              <w:t>页面</w:t>
            </w:r>
          </w:p>
        </w:tc>
        <w:tc>
          <w:tcPr>
            <w:tcW w:type="dxa" w:w="1417"/>
            <w:shd w:val="clear" w:color="auto" w:fill="1D4ED8"/>
          </w:tcPr>
          <w:p>
            <w:r>
              <w:rPr>
                <w:b/>
                <w:color w:val="FFFFFF"/>
              </w:rPr>
              <w:t>路径</w:t>
            </w:r>
          </w:p>
        </w:tc>
        <w:tc>
          <w:tcPr>
            <w:tcW w:type="dxa" w:w="1134"/>
            <w:shd w:val="clear" w:color="auto" w:fill="1D4ED8"/>
          </w:tcPr>
          <w:p>
            <w:r>
              <w:rPr>
                <w:b/>
                <w:color w:val="FFFFFF"/>
              </w:rPr>
              <w:t>权限</w:t>
            </w:r>
          </w:p>
        </w:tc>
        <w:tc>
          <w:tcPr>
            <w:tcW w:type="dxa" w:w="4819"/>
            <w:shd w:val="clear" w:color="auto" w:fill="1D4ED8"/>
          </w:tcPr>
          <w:p>
            <w:r>
              <w:rPr>
                <w:b/>
                <w:color w:val="FFFFFF"/>
              </w:rPr>
              <w:t>功能说明</w:t>
            </w:r>
          </w:p>
        </w:tc>
      </w:tr>
      <w:tr>
        <w:tc>
          <w:tcPr>
            <w:tcW w:type="dxa" w:w="1417"/>
            <w:shd w:val="clear" w:color="auto" w:fill="EFF6FF"/>
          </w:tcPr>
          <w:p>
            <w:r>
              <w:t>登录</w:t>
            </w:r>
          </w:p>
        </w:tc>
        <w:tc>
          <w:tcPr>
            <w:tcW w:type="dxa" w:w="1417"/>
            <w:shd w:val="clear" w:color="auto" w:fill="EFF6FF"/>
          </w:tcPr>
          <w:p>
            <w:r>
              <w:t>/</w:t>
            </w:r>
          </w:p>
        </w:tc>
        <w:tc>
          <w:tcPr>
            <w:tcW w:type="dxa" w:w="1134"/>
            <w:shd w:val="clear" w:color="auto" w:fill="EFF6FF"/>
          </w:tcPr>
          <w:p>
            <w:r>
              <w:t>无限制</w:t>
            </w:r>
          </w:p>
        </w:tc>
        <w:tc>
          <w:tcPr>
            <w:tcW w:type="dxa" w:w="4819"/>
            <w:shd w:val="clear" w:color="auto" w:fill="EFF6FF"/>
          </w:tcPr>
          <w:p>
            <w:r>
              <w:t>用户名密码登录，建立 Session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t>今日信号</w:t>
            </w:r>
          </w:p>
        </w:tc>
        <w:tc>
          <w:tcPr>
            <w:tcW w:type="dxa" w:w="1417"/>
            <w:shd w:val="clear" w:color="auto" w:fill="FFFFFF"/>
          </w:tcPr>
          <w:p>
            <w:r>
              <w:t>/signals</w:t>
            </w:r>
          </w:p>
        </w:tc>
        <w:tc>
          <w:tcPr>
            <w:tcW w:type="dxa" w:w="1134"/>
            <w:shd w:val="clear" w:color="auto" w:fill="FFFFFF"/>
          </w:tcPr>
          <w:p>
            <w:r>
              <w:t>需登录</w:t>
            </w:r>
          </w:p>
        </w:tc>
        <w:tc>
          <w:tcPr>
            <w:tcW w:type="dxa" w:w="4819"/>
            <w:shd w:val="clear" w:color="auto" w:fill="FFFFFF"/>
          </w:tcPr>
          <w:p>
            <w:r>
              <w:t>展示最新信号候选池，可查看历史日期档案</w:t>
            </w:r>
          </w:p>
        </w:tc>
      </w:tr>
      <w:tr>
        <w:tc>
          <w:tcPr>
            <w:tcW w:type="dxa" w:w="1417"/>
            <w:shd w:val="clear" w:color="auto" w:fill="EFF6FF"/>
          </w:tcPr>
          <w:p>
            <w:r>
              <w:t>ETF行情</w:t>
            </w:r>
          </w:p>
        </w:tc>
        <w:tc>
          <w:tcPr>
            <w:tcW w:type="dxa" w:w="1417"/>
            <w:shd w:val="clear" w:color="auto" w:fill="EFF6FF"/>
          </w:tcPr>
          <w:p>
            <w:r>
              <w:t>/market</w:t>
            </w:r>
          </w:p>
        </w:tc>
        <w:tc>
          <w:tcPr>
            <w:tcW w:type="dxa" w:w="1134"/>
            <w:shd w:val="clear" w:color="auto" w:fill="EFF6FF"/>
          </w:tcPr>
          <w:p>
            <w:r>
              <w:t>需登录</w:t>
            </w:r>
          </w:p>
        </w:tc>
        <w:tc>
          <w:tcPr>
            <w:tcW w:type="dxa" w:w="4819"/>
            <w:shd w:val="clear" w:color="auto" w:fill="EFF6FF"/>
          </w:tcPr>
          <w:p>
            <w:r>
              <w:t>K线图 + MA/布林带/RSI/成交量，用户买卖点标记，模型信号标记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t>持仓管理</w:t>
            </w:r>
          </w:p>
        </w:tc>
        <w:tc>
          <w:tcPr>
            <w:tcW w:type="dxa" w:w="1417"/>
            <w:shd w:val="clear" w:color="auto" w:fill="FFFFFF"/>
          </w:tcPr>
          <w:p>
            <w:r>
              <w:t>/portfolio</w:t>
            </w:r>
          </w:p>
        </w:tc>
        <w:tc>
          <w:tcPr>
            <w:tcW w:type="dxa" w:w="1134"/>
            <w:shd w:val="clear" w:color="auto" w:fill="FFFFFF"/>
          </w:tcPr>
          <w:p>
            <w:r>
              <w:t>需登录</w:t>
            </w:r>
          </w:p>
        </w:tc>
        <w:tc>
          <w:tcPr>
            <w:tcW w:type="dxa" w:w="4819"/>
            <w:shd w:val="clear" w:color="auto" w:fill="FFFFFF"/>
          </w:tcPr>
          <w:p>
            <w:r>
              <w:t>管理现金、持仓、交易记录，支持管理员查看所有用户</w:t>
            </w:r>
          </w:p>
        </w:tc>
      </w:tr>
      <w:tr>
        <w:tc>
          <w:tcPr>
            <w:tcW w:type="dxa" w:w="1417"/>
            <w:shd w:val="clear" w:color="auto" w:fill="EFF6FF"/>
          </w:tcPr>
          <w:p>
            <w:r>
              <w:t>回测结果</w:t>
            </w:r>
          </w:p>
        </w:tc>
        <w:tc>
          <w:tcPr>
            <w:tcW w:type="dxa" w:w="1417"/>
            <w:shd w:val="clear" w:color="auto" w:fill="EFF6FF"/>
          </w:tcPr>
          <w:p>
            <w:r>
              <w:t>/backtest</w:t>
            </w:r>
          </w:p>
        </w:tc>
        <w:tc>
          <w:tcPr>
            <w:tcW w:type="dxa" w:w="1134"/>
            <w:shd w:val="clear" w:color="auto" w:fill="EFF6FF"/>
          </w:tcPr>
          <w:p>
            <w:r>
              <w:t>需登录</w:t>
            </w:r>
          </w:p>
        </w:tc>
        <w:tc>
          <w:tcPr>
            <w:tcW w:type="dxa" w:w="4819"/>
            <w:shd w:val="clear" w:color="auto" w:fill="EFF6FF"/>
          </w:tcPr>
          <w:p>
            <w:r>
              <w:t>展示各 ETF 和周期的回测指标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t>模型参数</w:t>
            </w:r>
          </w:p>
        </w:tc>
        <w:tc>
          <w:tcPr>
            <w:tcW w:type="dxa" w:w="1417"/>
            <w:shd w:val="clear" w:color="auto" w:fill="FFFFFF"/>
          </w:tcPr>
          <w:p>
            <w:r>
              <w:t>/model</w:t>
            </w:r>
          </w:p>
        </w:tc>
        <w:tc>
          <w:tcPr>
            <w:tcW w:type="dxa" w:w="1134"/>
            <w:shd w:val="clear" w:color="auto" w:fill="FFFFFF"/>
          </w:tcPr>
          <w:p>
            <w:r>
              <w:t>管理员</w:t>
            </w:r>
          </w:p>
        </w:tc>
        <w:tc>
          <w:tcPr>
            <w:tcW w:type="dxa" w:w="4819"/>
            <w:shd w:val="clear" w:color="auto" w:fill="FFFFFF"/>
          </w:tcPr>
          <w:p>
            <w:r>
              <w:t>调整概率门槛、黑名单、盘中阈值，触发自动校准</w:t>
            </w:r>
          </w:p>
        </w:tc>
      </w:tr>
      <w:tr>
        <w:tc>
          <w:tcPr>
            <w:tcW w:type="dxa" w:w="1417"/>
            <w:shd w:val="clear" w:color="auto" w:fill="EFF6FF"/>
          </w:tcPr>
          <w:p>
            <w:r>
              <w:t>邮件日志</w:t>
            </w:r>
          </w:p>
        </w:tc>
        <w:tc>
          <w:tcPr>
            <w:tcW w:type="dxa" w:w="1417"/>
            <w:shd w:val="clear" w:color="auto" w:fill="EFF6FF"/>
          </w:tcPr>
          <w:p>
            <w:r>
              <w:t>/email</w:t>
            </w:r>
          </w:p>
        </w:tc>
        <w:tc>
          <w:tcPr>
            <w:tcW w:type="dxa" w:w="1134"/>
            <w:shd w:val="clear" w:color="auto" w:fill="EFF6FF"/>
          </w:tcPr>
          <w:p>
            <w:r>
              <w:t>管理员</w:t>
            </w:r>
          </w:p>
        </w:tc>
        <w:tc>
          <w:tcPr>
            <w:tcW w:type="dxa" w:w="4819"/>
            <w:shd w:val="clear" w:color="auto" w:fill="EFF6FF"/>
          </w:tcPr>
          <w:p>
            <w:r>
              <w:t>查看最近 100 条邮件发送记录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t>系统状态</w:t>
            </w:r>
          </w:p>
        </w:tc>
        <w:tc>
          <w:tcPr>
            <w:tcW w:type="dxa" w:w="1417"/>
            <w:shd w:val="clear" w:color="auto" w:fill="FFFFFF"/>
          </w:tcPr>
          <w:p>
            <w:r>
              <w:t>/system</w:t>
            </w:r>
          </w:p>
        </w:tc>
        <w:tc>
          <w:tcPr>
            <w:tcW w:type="dxa" w:w="1134"/>
            <w:shd w:val="clear" w:color="auto" w:fill="FFFFFF"/>
          </w:tcPr>
          <w:p>
            <w:r>
              <w:t>管理员</w:t>
            </w:r>
          </w:p>
        </w:tc>
        <w:tc>
          <w:tcPr>
            <w:tcW w:type="dxa" w:w="4819"/>
            <w:shd w:val="clear" w:color="auto" w:fill="FFFFFF"/>
          </w:tcPr>
          <w:p>
            <w:r>
              <w:t>查看关键文件更新时间和系统健康状态</w:t>
            </w:r>
          </w:p>
        </w:tc>
      </w:tr>
    </w:tbl>
    <w:p/>
    <w:p>
      <w:r>
        <w:br w:type="page"/>
      </w:r>
    </w:p>
    <w:p>
      <w:pPr>
        <w:spacing w:before="320" w:after="160"/>
      </w:pPr>
      <w:r>
        <w:rPr>
          <w:b/>
          <w:color w:val="1E40AF"/>
          <w:sz w:val="40"/>
        </w:rPr>
        <w:t>5. 定时任务调度</w:t>
      </w:r>
    </w:p>
    <w:p>
      <w:pPr>
        <w:spacing w:after="120"/>
      </w:pPr>
      <w:r>
        <w:t>所有定时任务通过 Windows 任务计划程序管理，可运行 setup_scheduler.ps1 一键创建。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1D4ED8"/>
          </w:tcPr>
          <w:p>
            <w:r>
              <w:rPr>
                <w:b/>
                <w:color w:val="FFFFFF"/>
              </w:rPr>
              <w:t>任务名</w:t>
            </w:r>
          </w:p>
        </w:tc>
        <w:tc>
          <w:tcPr>
            <w:tcW w:type="dxa" w:w="1984"/>
            <w:shd w:val="clear" w:color="auto" w:fill="1D4ED8"/>
          </w:tcPr>
          <w:p>
            <w:r>
              <w:rPr>
                <w:b/>
                <w:color w:val="FFFFFF"/>
              </w:rPr>
              <w:t>触发时间</w:t>
            </w:r>
          </w:p>
        </w:tc>
        <w:tc>
          <w:tcPr>
            <w:tcW w:type="dxa" w:w="1984"/>
            <w:shd w:val="clear" w:color="auto" w:fill="1D4ED8"/>
          </w:tcPr>
          <w:p>
            <w:r>
              <w:rPr>
                <w:b/>
                <w:color w:val="FFFFFF"/>
              </w:rPr>
              <w:t>入口脚本</w:t>
            </w:r>
          </w:p>
        </w:tc>
        <w:tc>
          <w:tcPr>
            <w:tcW w:type="dxa" w:w="3118"/>
            <w:shd w:val="clear" w:color="auto" w:fill="1D4ED8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701"/>
            <w:shd w:val="clear" w:color="auto" w:fill="EFF6FF"/>
          </w:tcPr>
          <w:p>
            <w:r>
              <w:t>Quant_Open</w:t>
            </w:r>
          </w:p>
        </w:tc>
        <w:tc>
          <w:tcPr>
            <w:tcW w:type="dxa" w:w="1984"/>
            <w:shd w:val="clear" w:color="auto" w:fill="EFF6FF"/>
          </w:tcPr>
          <w:p>
            <w:r>
              <w:t>周一至五 09:25</w:t>
            </w:r>
          </w:p>
        </w:tc>
        <w:tc>
          <w:tcPr>
            <w:tcW w:type="dxa" w:w="1984"/>
            <w:shd w:val="clear" w:color="auto" w:fill="EFF6FF"/>
          </w:tcPr>
          <w:p>
            <w:r>
              <w:t>run_daily.py</w:t>
            </w:r>
          </w:p>
        </w:tc>
        <w:tc>
          <w:tcPr>
            <w:tcW w:type="dxa" w:w="3118"/>
            <w:shd w:val="clear" w:color="auto" w:fill="EFF6FF"/>
          </w:tcPr>
          <w:p>
            <w:r>
              <w:t>开盘竞价盘中确认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t>Quant_Amend</w:t>
            </w:r>
          </w:p>
        </w:tc>
        <w:tc>
          <w:tcPr>
            <w:tcW w:type="dxa" w:w="1984"/>
            <w:shd w:val="clear" w:color="auto" w:fill="FFFFFF"/>
          </w:tcPr>
          <w:p>
            <w:r>
              <w:t>周一至五 11:25</w:t>
            </w:r>
          </w:p>
        </w:tc>
        <w:tc>
          <w:tcPr>
            <w:tcW w:type="dxa" w:w="1984"/>
            <w:shd w:val="clear" w:color="auto" w:fill="FFFFFF"/>
          </w:tcPr>
          <w:p>
            <w:r>
              <w:t>run_daily.py</w:t>
            </w:r>
          </w:p>
        </w:tc>
        <w:tc>
          <w:tcPr>
            <w:tcW w:type="dxa" w:w="3118"/>
            <w:shd w:val="clear" w:color="auto" w:fill="FFFFFF"/>
          </w:tcPr>
          <w:p>
            <w:r>
              <w:t>午盘前确认</w:t>
            </w:r>
          </w:p>
        </w:tc>
      </w:tr>
      <w:tr>
        <w:tc>
          <w:tcPr>
            <w:tcW w:type="dxa" w:w="1701"/>
            <w:shd w:val="clear" w:color="auto" w:fill="EFF6FF"/>
          </w:tcPr>
          <w:p>
            <w:r>
              <w:t>Quant_PM</w:t>
            </w:r>
          </w:p>
        </w:tc>
        <w:tc>
          <w:tcPr>
            <w:tcW w:type="dxa" w:w="1984"/>
            <w:shd w:val="clear" w:color="auto" w:fill="EFF6FF"/>
          </w:tcPr>
          <w:p>
            <w:r>
              <w:t>周一至五 13:05</w:t>
            </w:r>
          </w:p>
        </w:tc>
        <w:tc>
          <w:tcPr>
            <w:tcW w:type="dxa" w:w="1984"/>
            <w:shd w:val="clear" w:color="auto" w:fill="EFF6FF"/>
          </w:tcPr>
          <w:p>
            <w:r>
              <w:t>run_daily.py</w:t>
            </w:r>
          </w:p>
        </w:tc>
        <w:tc>
          <w:tcPr>
            <w:tcW w:type="dxa" w:w="3118"/>
            <w:shd w:val="clear" w:color="auto" w:fill="EFF6FF"/>
          </w:tcPr>
          <w:p>
            <w:r>
              <w:t>下午开盘确认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t>Quant_Close</w:t>
            </w:r>
          </w:p>
        </w:tc>
        <w:tc>
          <w:tcPr>
            <w:tcW w:type="dxa" w:w="1984"/>
            <w:shd w:val="clear" w:color="auto" w:fill="FFFFFF"/>
          </w:tcPr>
          <w:p>
            <w:r>
              <w:t>周一至五 14:50</w:t>
            </w:r>
          </w:p>
        </w:tc>
        <w:tc>
          <w:tcPr>
            <w:tcW w:type="dxa" w:w="1984"/>
            <w:shd w:val="clear" w:color="auto" w:fill="FFFFFF"/>
          </w:tcPr>
          <w:p>
            <w:r>
              <w:t>run_daily.py</w:t>
            </w:r>
          </w:p>
        </w:tc>
        <w:tc>
          <w:tcPr>
            <w:tcW w:type="dxa" w:w="3118"/>
            <w:shd w:val="clear" w:color="auto" w:fill="FFFFFF"/>
          </w:tcPr>
          <w:p>
            <w:r>
              <w:t>尾盘确认</w:t>
            </w:r>
          </w:p>
        </w:tc>
      </w:tr>
      <w:tr>
        <w:tc>
          <w:tcPr>
            <w:tcW w:type="dxa" w:w="1701"/>
            <w:shd w:val="clear" w:color="auto" w:fill="EFF6FF"/>
          </w:tcPr>
          <w:p>
            <w:r>
              <w:t>Quant_Daily</w:t>
            </w:r>
          </w:p>
        </w:tc>
        <w:tc>
          <w:tcPr>
            <w:tcW w:type="dxa" w:w="1984"/>
            <w:shd w:val="clear" w:color="auto" w:fill="EFF6FF"/>
          </w:tcPr>
          <w:p>
            <w:r>
              <w:t>周一至五 15:35</w:t>
            </w:r>
          </w:p>
        </w:tc>
        <w:tc>
          <w:tcPr>
            <w:tcW w:type="dxa" w:w="1984"/>
            <w:shd w:val="clear" w:color="auto" w:fill="EFF6FF"/>
          </w:tcPr>
          <w:p>
            <w:r>
              <w:t>run_daily.py</w:t>
            </w:r>
          </w:p>
        </w:tc>
        <w:tc>
          <w:tcPr>
            <w:tcW w:type="dxa" w:w="3118"/>
            <w:shd w:val="clear" w:color="auto" w:fill="EFF6FF"/>
          </w:tcPr>
          <w:p>
            <w:r>
              <w:t>收盘信号生成 + 日报推送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t>Quant_Weekly</w:t>
            </w:r>
          </w:p>
        </w:tc>
        <w:tc>
          <w:tcPr>
            <w:tcW w:type="dxa" w:w="1984"/>
            <w:shd w:val="clear" w:color="auto" w:fill="FFFFFF"/>
          </w:tcPr>
          <w:p>
            <w:r>
              <w:t>周日 10:00</w:t>
            </w:r>
          </w:p>
        </w:tc>
        <w:tc>
          <w:tcPr>
            <w:tcW w:type="dxa" w:w="1984"/>
            <w:shd w:val="clear" w:color="auto" w:fill="FFFFFF"/>
          </w:tcPr>
          <w:p>
            <w:r>
              <w:t>run_weekly.py</w:t>
            </w:r>
          </w:p>
        </w:tc>
        <w:tc>
          <w:tcPr>
            <w:tcW w:type="dxa" w:w="3118"/>
            <w:shd w:val="clear" w:color="auto" w:fill="FFFFFF"/>
          </w:tcPr>
          <w:p>
            <w:r>
              <w:t>模型重训 + 阈值校准 + 周一信号预报</w:t>
            </w:r>
          </w:p>
        </w:tc>
      </w:tr>
      <w:tr>
        <w:tc>
          <w:tcPr>
            <w:tcW w:type="dxa" w:w="1701"/>
            <w:shd w:val="clear" w:color="auto" w:fill="EFF6FF"/>
          </w:tcPr>
          <w:p>
            <w:r>
              <w:t>Quant_Monthly</w:t>
            </w:r>
          </w:p>
        </w:tc>
        <w:tc>
          <w:tcPr>
            <w:tcW w:type="dxa" w:w="1984"/>
            <w:shd w:val="clear" w:color="auto" w:fill="EFF6FF"/>
          </w:tcPr>
          <w:p>
            <w:r>
              <w:t>周日 12:00</w:t>
            </w:r>
          </w:p>
        </w:tc>
        <w:tc>
          <w:tcPr>
            <w:tcW w:type="dxa" w:w="1984"/>
            <w:shd w:val="clear" w:color="auto" w:fill="EFF6FF"/>
          </w:tcPr>
          <w:p>
            <w:r>
              <w:t>run_monthly.py</w:t>
            </w:r>
          </w:p>
        </w:tc>
        <w:tc>
          <w:tcPr>
            <w:tcW w:type="dxa" w:w="3118"/>
            <w:shd w:val="clear" w:color="auto" w:fill="EFF6FF"/>
          </w:tcPr>
          <w:p>
            <w:r>
              <w:t>本月第一周日 Optuna 超参数搜索（其余周日跳过）</w:t>
            </w:r>
          </w:p>
        </w:tc>
      </w:tr>
    </w:tbl>
    <w:p/>
    <w:p>
      <w:pPr>
        <w:spacing w:after="120"/>
      </w:pPr>
      <w:r>
        <w:t>注：周六无任何任务运行，周日仅运行模型维护类任务，不触发盘中确认。</w:t>
      </w:r>
    </w:p>
    <w:p>
      <w:r>
        <w:br w:type="page"/>
      </w:r>
    </w:p>
    <w:p>
      <w:pPr>
        <w:spacing w:before="320" w:after="160"/>
      </w:pPr>
      <w:r>
        <w:rPr>
          <w:b/>
          <w:color w:val="1E40AF"/>
          <w:sz w:val="40"/>
        </w:rPr>
        <w:t>6. 部署指南</w:t>
      </w:r>
    </w:p>
    <w:p>
      <w:pPr>
        <w:spacing w:before="240" w:after="120"/>
      </w:pPr>
      <w:r>
        <w:rPr>
          <w:b/>
          <w:color w:val="1D4ED8"/>
          <w:sz w:val="28"/>
        </w:rPr>
        <w:t>6.1 环境要求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D4ED8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6520"/>
            <w:shd w:val="clear" w:color="auto" w:fill="1D4ED8"/>
          </w:tcPr>
          <w:p>
            <w:r>
              <w:rPr>
                <w:b/>
                <w:color w:val="FFFFFF"/>
              </w:rPr>
              <w:t>要求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t>操作系统</w:t>
            </w:r>
          </w:p>
        </w:tc>
        <w:tc>
          <w:tcPr>
            <w:tcW w:type="dxa" w:w="6520"/>
            <w:shd w:val="clear" w:color="auto" w:fill="EFF6FF"/>
          </w:tcPr>
          <w:p>
            <w:r>
              <w:t>Windows 10/11（任务计划程序调度）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Python 版本</w:t>
            </w:r>
          </w:p>
        </w:tc>
        <w:tc>
          <w:tcPr>
            <w:tcW w:type="dxa" w:w="6520"/>
            <w:shd w:val="clear" w:color="auto" w:fill="FFFFFF"/>
          </w:tcPr>
          <w:p>
            <w:r>
              <w:t>3.10 及以上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t>Node.js 版本</w:t>
            </w:r>
          </w:p>
        </w:tc>
        <w:tc>
          <w:tcPr>
            <w:tcW w:type="dxa" w:w="6520"/>
            <w:shd w:val="clear" w:color="auto" w:fill="EFF6FF"/>
          </w:tcPr>
          <w:p>
            <w:r>
              <w:t>18 及以上（前端构建）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内存</w:t>
            </w:r>
          </w:p>
        </w:tc>
        <w:tc>
          <w:tcPr>
            <w:tcW w:type="dxa" w:w="6520"/>
            <w:shd w:val="clear" w:color="auto" w:fill="FFFFFF"/>
          </w:tcPr>
          <w:p>
            <w:r>
              <w:t>推荐 8GB 以上（LightGBM 训练时占用约 1-2GB）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t>磁盘</w:t>
            </w:r>
          </w:p>
        </w:tc>
        <w:tc>
          <w:tcPr>
            <w:tcW w:type="dxa" w:w="6520"/>
            <w:shd w:val="clear" w:color="auto" w:fill="EFF6FF"/>
          </w:tcPr>
          <w:p>
            <w:r>
              <w:t>约 500MB（含历史数据和模型文件）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t>网络</w:t>
            </w:r>
          </w:p>
        </w:tc>
        <w:tc>
          <w:tcPr>
            <w:tcW w:type="dxa" w:w="6520"/>
            <w:shd w:val="clear" w:color="auto" w:fill="FFFFFF"/>
          </w:tcPr>
          <w:p>
            <w:r>
              <w:t>需能访问 AKShare 数据源（国内网络即可）</w:t>
            </w:r>
          </w:p>
        </w:tc>
      </w:tr>
    </w:tbl>
    <w:p/>
    <w:p>
      <w:pPr>
        <w:spacing w:before="240" w:after="120"/>
      </w:pPr>
      <w:r>
        <w:rPr>
          <w:b/>
          <w:color w:val="1D4ED8"/>
          <w:sz w:val="28"/>
        </w:rPr>
        <w:t>6.2 部署步骤</w:t>
      </w:r>
    </w:p>
    <w:p>
      <w:pPr>
        <w:pStyle w:val="ListBullet"/>
        <w:spacing w:after="60"/>
        <w:ind w:left="360"/>
      </w:pPr>
      <w:r>
        <w:t>克隆仓库：git clone https://github.com/your-username/etf-quant.git</w:t>
      </w:r>
    </w:p>
    <w:p>
      <w:pPr>
        <w:pStyle w:val="ListBullet"/>
        <w:spacing w:after="60"/>
        <w:ind w:left="360"/>
      </w:pPr>
      <w:r>
        <w:t>创建虚拟环境：python -m venv .venv  &amp;&amp;  .venv\Scripts\activate</w:t>
      </w:r>
    </w:p>
    <w:p>
      <w:pPr>
        <w:pStyle w:val="ListBullet"/>
        <w:spacing w:after="60"/>
        <w:ind w:left="360"/>
      </w:pPr>
      <w:r>
        <w:t>安装依赖：pip install -r requirements.txt &amp;&amp; pip install flask optuna</w:t>
      </w:r>
    </w:p>
    <w:p>
      <w:pPr>
        <w:pStyle w:val="ListBullet"/>
        <w:spacing w:after="60"/>
        <w:ind w:left="360"/>
      </w:pPr>
      <w:r>
        <w:t>复制配置：copy config.example.py config.py，并填写 SMTP 邮箱授权码</w:t>
      </w:r>
    </w:p>
    <w:p>
      <w:pPr>
        <w:pStyle w:val="ListBullet"/>
        <w:spacing w:after="60"/>
        <w:ind w:left="360"/>
      </w:pPr>
      <w:r>
        <w:t>拉取历史数据：python -m quant.data.fetch_historical</w:t>
      </w:r>
    </w:p>
    <w:p>
      <w:pPr>
        <w:pStyle w:val="ListBullet"/>
        <w:spacing w:after="60"/>
        <w:ind w:left="360"/>
      </w:pPr>
      <w:r>
        <w:t>初始训练：python run_weekly.py</w:t>
      </w:r>
    </w:p>
    <w:p>
      <w:pPr>
        <w:pStyle w:val="ListBullet"/>
        <w:spacing w:after="60"/>
        <w:ind w:left="360"/>
      </w:pPr>
      <w:r>
        <w:t>构建前端：cd frontend &amp;&amp; npm install &amp;&amp; npm run build &amp;&amp; cd ..</w:t>
      </w:r>
    </w:p>
    <w:p>
      <w:pPr>
        <w:pStyle w:val="ListBullet"/>
        <w:spacing w:after="60"/>
        <w:ind w:left="360"/>
      </w:pPr>
      <w:r>
        <w:t>启动服务：python web_app.py（访问 http://localhost:5000）</w:t>
      </w:r>
    </w:p>
    <w:p>
      <w:pPr>
        <w:pStyle w:val="ListBullet"/>
        <w:spacing w:after="60"/>
        <w:ind w:left="360"/>
      </w:pPr>
      <w:r>
        <w:t>配置定时任务：以管理员身份运行 .\setup_scheduler.ps1</w:t>
      </w:r>
    </w:p>
    <w:p>
      <w:pPr>
        <w:spacing w:before="240" w:after="120"/>
      </w:pPr>
      <w:r>
        <w:rPr>
          <w:b/>
          <w:color w:val="1D4ED8"/>
          <w:sz w:val="28"/>
        </w:rPr>
        <w:t>6.3 config.py 配置项说明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D4ED8"/>
          </w:tcPr>
          <w:p>
            <w:r>
              <w:rPr>
                <w:b/>
                <w:color w:val="FFFFFF"/>
              </w:rPr>
              <w:t>配置项</w:t>
            </w:r>
          </w:p>
        </w:tc>
        <w:tc>
          <w:tcPr>
            <w:tcW w:type="dxa" w:w="1134"/>
            <w:shd w:val="clear" w:color="auto" w:fill="1D4ED8"/>
          </w:tcPr>
          <w:p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5102"/>
            <w:shd w:val="clear" w:color="auto" w:fill="1D4ED8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t>SMTP_SENDER</w:t>
            </w:r>
          </w:p>
        </w:tc>
        <w:tc>
          <w:tcPr>
            <w:tcW w:type="dxa" w:w="1134"/>
            <w:shd w:val="clear" w:color="auto" w:fill="EFF6FF"/>
          </w:tcPr>
          <w:p>
            <w:r>
              <w:t>str</w:t>
            </w:r>
          </w:p>
        </w:tc>
        <w:tc>
          <w:tcPr>
            <w:tcW w:type="dxa" w:w="5102"/>
            <w:shd w:val="clear" w:color="auto" w:fill="EFF6FF"/>
          </w:tcPr>
          <w:p>
            <w:r>
              <w:t>发件人 163 邮箱地址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t>SMTP_PASSWORD</w:t>
            </w:r>
          </w:p>
        </w:tc>
        <w:tc>
          <w:tcPr>
            <w:tcW w:type="dxa" w:w="1134"/>
            <w:shd w:val="clear" w:color="auto" w:fill="FFFFFF"/>
          </w:tcPr>
          <w:p>
            <w:r>
              <w:t>str</w:t>
            </w:r>
          </w:p>
        </w:tc>
        <w:tc>
          <w:tcPr>
            <w:tcW w:type="dxa" w:w="5102"/>
            <w:shd w:val="clear" w:color="auto" w:fill="FFFFFF"/>
          </w:tcPr>
          <w:p>
            <w:r>
              <w:t>163 SMTP 授权码（非登录密码）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t>SMTP_HOST</w:t>
            </w:r>
          </w:p>
        </w:tc>
        <w:tc>
          <w:tcPr>
            <w:tcW w:type="dxa" w:w="1134"/>
            <w:shd w:val="clear" w:color="auto" w:fill="EFF6FF"/>
          </w:tcPr>
          <w:p>
            <w:r>
              <w:t>str</w:t>
            </w:r>
          </w:p>
        </w:tc>
        <w:tc>
          <w:tcPr>
            <w:tcW w:type="dxa" w:w="5102"/>
            <w:shd w:val="clear" w:color="auto" w:fill="EFF6FF"/>
          </w:tcPr>
          <w:p>
            <w:r>
              <w:t>SMTP 服务器，默认 smtp.163.com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t>SMTP_PORT</w:t>
            </w:r>
          </w:p>
        </w:tc>
        <w:tc>
          <w:tcPr>
            <w:tcW w:type="dxa" w:w="1134"/>
            <w:shd w:val="clear" w:color="auto" w:fill="FFFFFF"/>
          </w:tcPr>
          <w:p>
            <w:r>
              <w:t>int</w:t>
            </w:r>
          </w:p>
        </w:tc>
        <w:tc>
          <w:tcPr>
            <w:tcW w:type="dxa" w:w="5102"/>
            <w:shd w:val="clear" w:color="auto" w:fill="FFFFFF"/>
          </w:tcPr>
          <w:p>
            <w:r>
              <w:t>SSL 端口，默认 465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t>WEB_PASSWORD</w:t>
            </w:r>
          </w:p>
        </w:tc>
        <w:tc>
          <w:tcPr>
            <w:tcW w:type="dxa" w:w="1134"/>
            <w:shd w:val="clear" w:color="auto" w:fill="EFF6FF"/>
          </w:tcPr>
          <w:p>
            <w:r>
              <w:t>str</w:t>
            </w:r>
          </w:p>
        </w:tc>
        <w:tc>
          <w:tcPr>
            <w:tcW w:type="dxa" w:w="5102"/>
            <w:shd w:val="clear" w:color="auto" w:fill="EFF6FF"/>
          </w:tcPr>
          <w:p>
            <w:r>
              <w:t>管理员登录密码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t>DEFAULT_HISTORY_YEARS</w:t>
            </w:r>
          </w:p>
        </w:tc>
        <w:tc>
          <w:tcPr>
            <w:tcW w:type="dxa" w:w="1134"/>
            <w:shd w:val="clear" w:color="auto" w:fill="FFFFFF"/>
          </w:tcPr>
          <w:p>
            <w:r>
              <w:t>int</w:t>
            </w:r>
          </w:p>
        </w:tc>
        <w:tc>
          <w:tcPr>
            <w:tcW w:type="dxa" w:w="5102"/>
            <w:shd w:val="clear" w:color="auto" w:fill="FFFFFF"/>
          </w:tcPr>
          <w:p>
            <w:r>
              <w:t>历史数据拉取年数，默认 3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t>REALTIME_INTERVAL_MIN</w:t>
            </w:r>
          </w:p>
        </w:tc>
        <w:tc>
          <w:tcPr>
            <w:tcW w:type="dxa" w:w="1134"/>
            <w:shd w:val="clear" w:color="auto" w:fill="EFF6FF"/>
          </w:tcPr>
          <w:p>
            <w:r>
              <w:t>int</w:t>
            </w:r>
          </w:p>
        </w:tc>
        <w:tc>
          <w:tcPr>
            <w:tcW w:type="dxa" w:w="5102"/>
            <w:shd w:val="clear" w:color="auto" w:fill="EFF6FF"/>
          </w:tcPr>
          <w:p>
            <w:r>
              <w:t>盘中轮询间隔（分钟），默认 5</w:t>
            </w:r>
          </w:p>
        </w:tc>
      </w:tr>
    </w:tbl>
    <w:p/>
    <w:p>
      <w:r>
        <w:br w:type="page"/>
      </w:r>
    </w:p>
    <w:p>
      <w:pPr>
        <w:spacing w:before="320" w:after="160"/>
      </w:pPr>
      <w:r>
        <w:rPr>
          <w:b/>
          <w:color w:val="1E40AF"/>
          <w:sz w:val="40"/>
        </w:rPr>
        <w:t>7. 数据安全与隐私</w:t>
      </w:r>
    </w:p>
    <w:p>
      <w:pPr>
        <w:spacing w:before="240" w:after="120"/>
      </w:pPr>
      <w:r>
        <w:rPr>
          <w:b/>
          <w:color w:val="1D4ED8"/>
          <w:sz w:val="28"/>
        </w:rPr>
        <w:t>7.1 已排除出 Git 仓库的敏感文件</w:t>
      </w:r>
    </w:p>
    <w:p>
      <w:pPr>
        <w:pStyle w:val="ListBullet"/>
        <w:spacing w:after="60"/>
        <w:ind w:left="360"/>
      </w:pPr>
      <w:r>
        <w:t>config.py — 包含 SMTP 密码、Web 登录密码</w:t>
      </w:r>
    </w:p>
    <w:p>
      <w:pPr>
        <w:pStyle w:val="ListBullet"/>
        <w:spacing w:after="60"/>
        <w:ind w:left="360"/>
      </w:pPr>
      <w:r>
        <w:t>.flask_secret — Flask Session 签名密钥</w:t>
      </w:r>
    </w:p>
    <w:p>
      <w:pPr>
        <w:pStyle w:val="ListBullet"/>
        <w:spacing w:after="60"/>
        <w:ind w:left="360"/>
      </w:pPr>
      <w:r>
        <w:t>portfolios/*.json — 用户持仓和个人信息</w:t>
      </w:r>
    </w:p>
    <w:p>
      <w:pPr>
        <w:pStyle w:val="ListBullet"/>
        <w:spacing w:after="60"/>
        <w:ind w:left="360"/>
      </w:pPr>
      <w:r>
        <w:t>quant/models/saved/*.pkl — 训练好的模型文件（体积大）</w:t>
      </w:r>
    </w:p>
    <w:p>
      <w:pPr>
        <w:pStyle w:val="ListBullet"/>
        <w:spacing w:after="60"/>
        <w:ind w:left="360"/>
      </w:pPr>
      <w:r>
        <w:t>quant/data/historical/*.parquet — 历史行情数据（体积大）</w:t>
      </w:r>
    </w:p>
    <w:p>
      <w:pPr>
        <w:spacing w:before="240" w:after="120"/>
      </w:pPr>
      <w:r>
        <w:rPr>
          <w:b/>
          <w:color w:val="1D4ED8"/>
          <w:sz w:val="28"/>
        </w:rPr>
        <w:t>7.2 认证机制</w:t>
      </w:r>
    </w:p>
    <w:p>
      <w:pPr>
        <w:spacing w:after="120"/>
      </w:pPr>
      <w:r>
        <w:t>Web 界面使用 Flask Session（HttpOnly Cookie）认证。密码通过 bcrypt 哈希存储，不可逆。Session 密钥由 .flask_secret 文件提供（不入库）。普通用户只能读写自己的持仓数据，管理员可操作所有用户数据。</w:t>
      </w:r>
    </w:p>
    <w:p>
      <w:r>
        <w:br w:type="page"/>
      </w:r>
    </w:p>
    <w:p>
      <w:pPr>
        <w:spacing w:before="320" w:after="160"/>
      </w:pPr>
      <w:r>
        <w:rPr>
          <w:b/>
          <w:color w:val="1E40AF"/>
          <w:sz w:val="40"/>
        </w:rPr>
        <w:t>8. 免责声明</w:t>
      </w:r>
    </w:p>
    <w:p>
      <w:pPr>
        <w:spacing w:after="120"/>
      </w:pPr>
      <w:r>
        <w:t>本系统仅供学习和研究使用，不构成任何投资建议。量化模型存在失效风险，历史表现不代表未来收益。A 股市场存在较大不确定性，使用本系统所产生的任何盈亏由用户自行承担。投资有风险，入市需谨慎。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