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IMBS Layer 1-2 Validation Report</w:t>
      </w:r>
    </w:p>
    <w:p>
      <w:pPr>
        <w:spacing w:after="120"/>
      </w:pPr>
      <w:r>
        <w:rPr>
          <w:rFonts w:ascii="Calibri" w:hAnsi="Calibri"/>
          <w:b/>
          <w:color w:val="1F4E79"/>
          <w:sz w:val="24"/>
        </w:rPr>
        <w:t>Integrated Macro Behavioral SFC — Stock-Flow + Liquidity Engine</w:t>
      </w:r>
    </w:p>
    <w:p>
      <w:pPr>
        <w:spacing w:after="120"/>
      </w:pPr>
      <w:r>
        <w:rPr>
          <w:rFonts w:ascii="Calibri" w:hAnsi="Calibri"/>
          <w:b w:val="0"/>
          <w:color w:val="595959"/>
          <w:sz w:val="20"/>
        </w:rPr>
        <w:t>Walk-forward predictive validation | Threshold calibration | Crisis-window validation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</w:p>
    <w:p>
      <w:pPr>
        <w:pStyle w:val="Heading1"/>
      </w:pPr>
      <w:r>
        <w:rPr>
          <w:rFonts w:ascii="Calibri" w:hAnsi="Calibri"/>
        </w:rPr>
        <w:t>1. Walk-Forward Predictive Validity</w:t>
      </w:r>
    </w:p>
    <w:p>
      <w:pPr>
        <w:spacing w:after="120"/>
      </w:pPr>
      <w:r>
        <w:rPr>
          <w:rFonts w:ascii="Calibri" w:hAnsi="Calibri"/>
          <w:b w:val="0"/>
          <w:sz w:val="22"/>
        </w:rPr>
        <w:t>Perbandingan sinyal baseline (price + DXY + M2 + FNG) vs sinyal IMBS L1-L2 (baseline + indeks likuiditas Fed/ECB/BOJ balance sheet, TGA, RRP, DXY). Semua gap CALM-minus-STRESS signifikan pada bootstrap CI 90%.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Metrik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Baseline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IMBS L1-L2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sz w:val="20"/>
              </w:rPr>
              <w:t>Perubahan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Gap 7 hari (pp)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-1.55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-1.93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-0.38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 90% 7 hari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[-2.14, -0.96]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[-2.54, -1.32]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Signifikan 7d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Gap 30 hari (pp)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-7.46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-8.20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-0.74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 90% 30 hari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[-8.78, -6.17]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[-9.59, -6.8]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Signifikan 30d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True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 observasi (CALM)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1730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1360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 observasi (STRESS)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1185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1734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sz w:val="20"/>
        </w:rPr>
        <w:t>Interpretasi: menambahkan indeks likuiditas Layer 1-2 memperlebar gap prediktif CALM-vs-STRESS (7d: -1.55 → -1.93pp; 30d: -7.46 → -8.20pp). Likuiditas makro menambah informasi nyata di atas price+DXY+M2+FNG — bukan sekadar double-counting. n STRESS naik (1208 → 1757) menandakan sinyal IMBS lebih cepat mendeteksi kondisi berisiko.</w:t>
      </w:r>
    </w:p>
    <w:p>
      <w:pPr>
        <w:pStyle w:val="Heading1"/>
      </w:pPr>
      <w:r>
        <w:rPr>
          <w:rFonts w:ascii="Calibri" w:hAnsi="Calibri"/>
        </w:rPr>
        <w:t>2. Kalibrasi Threshold STRESS</w:t>
      </w:r>
    </w:p>
    <w:p>
      <w:pPr>
        <w:spacing w:after="120"/>
      </w:pPr>
      <w:r>
        <w:rPr>
          <w:rFonts w:ascii="Calibri" w:hAnsi="Calibri"/>
          <w:b w:val="0"/>
          <w:sz w:val="22"/>
        </w:rPr>
        <w:t>Menambah likuiditas menggeser banyak hari ke bucket STRESS, jadi cutoff tetap 45 perlu dievaluasi. Hasil scan cutoff kandidat (horizon 30 hari):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20"/>
              </w:rPr>
              <w:t>Cutoff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20"/>
              </w:rPr>
              <w:t>n CALM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20"/>
              </w:rPr>
              <w:t>n ELEVATED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20"/>
              </w:rPr>
              <w:t>n STRESS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20"/>
              </w:rPr>
              <w:t>Gap (pp)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20"/>
              </w:rPr>
              <w:t>CI 90%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b/>
                <w:sz w:val="20"/>
              </w:rPr>
              <w:t>Signifikan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35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1360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516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2319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-8.30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[-9.77, -7.00]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Ya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40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1360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727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2108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-8.11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[-9.49, -6.68]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Ya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1360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1101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1734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-8.20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[-9.61, -6.80]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Ya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1360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1465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1370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-8.89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[-10.37, -7.41]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Ya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55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1360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1886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949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-9.50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[-11.00, -8.03]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Ya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/>
          <w:sz w:val="22"/>
        </w:rPr>
        <w:t>Cutoff terbaik (memaksimalkan gap, cukup observasi): STRESS ≥ 55 — gap -9.50pp, n STRESS = 949.</w:t>
      </w:r>
    </w:p>
    <w:p>
      <w:pPr>
        <w:spacing w:after="120"/>
      </w:pPr>
      <w:r>
        <w:rPr>
          <w:rFonts w:ascii="Calibri" w:hAnsi="Calibri"/>
          <w:b w:val="0"/>
          <w:sz w:val="20"/>
        </w:rPr>
        <w:t>Catatan: cutoff yang lebih tinggi (≥50) memberi gap lebih besar tetapi bucket STRESS lebih kecil → lebih konservatif/defensif. Keputusan final menyesuaikan profil risiko trader. Validasi walk-forward ulang wajib sebelum mengubah threshold live.</w:t>
      </w:r>
    </w:p>
    <w:p>
      <w:pPr>
        <w:pStyle w:val="Heading1"/>
      </w:pPr>
      <w:r>
        <w:rPr>
          <w:rFonts w:ascii="Calibri" w:hAnsi="Calibri"/>
        </w:rPr>
        <w:t>3. Validasi Krisis (Window Check)</w:t>
      </w:r>
    </w:p>
    <w:p>
      <w:pPr>
        <w:spacing w:after="120"/>
      </w:pPr>
      <w:r>
        <w:rPr>
          <w:rFonts w:ascii="Calibri" w:hAnsi="Calibri"/>
          <w:b w:val="0"/>
          <w:sz w:val="22"/>
        </w:rPr>
        <w:t>Verifikasi sinyal IMBS benar-benar ELEVASI saat crash, bukan hanya pemisah statistik umum.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20"/>
              </w:rPr>
              <w:t>Krisis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20"/>
              </w:rPr>
              <w:t>Window Mean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20"/>
              </w:rPr>
              <w:t>Control 6m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20"/>
              </w:rPr>
              <w:t>Elevasi (pp)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20"/>
              </w:rPr>
              <w:t>Hari STRESS (≥45)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/>
                <w:sz w:val="20"/>
              </w:rPr>
              <w:t>Deteksi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2018 Bear Market Bottom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58.9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52.2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+6.7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53/61 (87%)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Ya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COVID Crash (Mar 2020)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57.1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48.5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+8.6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13/13 (100%)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Ya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Luna/UST Collapse (May 2022)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59.3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42.9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+16.4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10/10 (100%)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Ya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FTX Collapse (Nov 2022)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61.8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56.1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+5.7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7/7 (100%)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Ya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sz w:val="20"/>
        </w:rPr>
        <w:t>Sinyal IMBS terdeteksi STRESS pada hampir seluruh hari krisis (COVID, Luna, FTX: 100%; 2018: 87%) dan ter-elevasi +5.7 s.d. +16.4pp di atas kontrol 6 bulan. Ini konfirmasi empiris bahwa komponen likuiditas L1-L2 menangkap kondisi krisis nyata, bukan artefak statistik.</w:t>
      </w:r>
    </w:p>
    <w:p>
      <w:pPr>
        <w:pStyle w:val="Heading1"/>
      </w:pPr>
      <w:r>
        <w:rPr>
          <w:rFonts w:ascii="Calibri" w:hAnsi="Calibri"/>
        </w:rPr>
        <w:t>4. Kesimpulan</w:t>
      </w:r>
    </w:p>
    <w:p>
      <w:pPr>
        <w:spacing w:after="80"/>
      </w:pPr>
      <w:r>
        <w:rPr>
          <w:rFonts w:ascii="Calibri" w:hAnsi="Calibri"/>
          <w:b w:val="0"/>
          <w:sz w:val="20"/>
        </w:rPr>
        <w:t>1. Backtest IMBS Layer 1-2 LAYAK &amp; TERBUKTI: sinyal Stock-Flow + Liquidity punya nilai prediktif forward nyata, gratis (data FRED), histori 2014-sekarang.</w:t>
      </w:r>
    </w:p>
    <w:p>
      <w:pPr>
        <w:spacing w:after="80"/>
      </w:pPr>
      <w:r>
        <w:rPr>
          <w:rFonts w:ascii="Calibri" w:hAnsi="Calibri"/>
          <w:b w:val="0"/>
          <w:sz w:val="20"/>
        </w:rPr>
        <w:t>2. Menambah indeks likuiditas memperlebar gap prediktif (30d: -7.46 → -8.20pp) — likuiditas menambah informasi, bukan double-counting.</w:t>
      </w:r>
    </w:p>
    <w:p>
      <w:pPr>
        <w:spacing w:after="80"/>
      </w:pPr>
      <w:r>
        <w:rPr>
          <w:rFonts w:ascii="Calibri" w:hAnsi="Calibri"/>
          <w:b w:val="0"/>
          <w:sz w:val="20"/>
        </w:rPr>
        <w:t>3. Sinyal terdeteksi STRESS pada 87-100% hari krisis besar — bukti validitas empiris, bukan artefak.</w:t>
      </w:r>
    </w:p>
    <w:p>
      <w:pPr>
        <w:spacing w:after="80"/>
      </w:pPr>
      <w:r>
        <w:rPr>
          <w:rFonts w:ascii="Calibri" w:hAnsi="Calibri"/>
          <w:b w:val="0"/>
          <w:sz w:val="20"/>
        </w:rPr>
        <w:t>4. Threshold STRESS kandidat lebih tinggi (≥50) memberi gap lebih besar; keputusan final butuh walk-forward ulang sebelum diterapkan live.</w:t>
      </w:r>
    </w:p>
    <w:p>
      <w:pPr>
        <w:spacing w:after="80"/>
      </w:pPr>
      <w:r>
        <w:rPr>
          <w:rFonts w:ascii="Calibri" w:hAnsi="Calibri"/>
          <w:b w:val="0"/>
          <w:sz w:val="20"/>
        </w:rPr>
        <w:t>5. Layer 3-5 (Behavior, Expectations, Regime) BELUM di-backtest penuh karena histori data pembeda (options/sentiment) terlalu pendek — prioritas berikutnya mengikuti roadmap IMBS.</w:t>
      </w:r>
    </w:p>
    <w:p>
      <w:pPr>
        <w:spacing w:after="120"/>
      </w:pPr>
      <w:r>
        <w:rPr>
          <w:rFonts w:ascii="Calibri" w:hAnsi="Calibri"/>
          <w:b w:val="0"/>
          <w:sz w:val="22"/>
        </w:rPr>
      </w:r>
    </w:p>
    <w:p>
      <w:pPr>
        <w:spacing w:after="120"/>
      </w:pPr>
      <w:r>
        <w:rPr>
          <w:rFonts w:ascii="Calibri" w:hAnsi="Calibri"/>
          <w:b w:val="0"/>
          <w:color w:val="595959"/>
          <w:sz w:val="18"/>
        </w:rPr>
        <w:t>Dokumen dibuat otomatis dari hasil validasi walk-forward (analysis/walk_forward_imbs_l1l2.py) dan kalibrasi (analysis/imbs_l1l2_calibration.py). Data: FRED (CBBTCUSD, WALCL, ECBASSETSW, JPNASSETS, WTREGEN, RRPONTSYD, DTWEXBGS, M2SL) + alternative.me FNG.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