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  <w:proofErr w:type="spellEnd"/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A659A9" w:rsidRDefault="00A659A9" w:rsidP="00A66B0D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Снитовца Михаила Владимировича</w:t>
            </w:r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4A7B8F" w:rsidRDefault="00DE1230" w:rsidP="00A66B0D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DE1230">
              <w:rPr>
                <w:sz w:val="24"/>
              </w:rPr>
              <w:t>Программное средство учёта персонального бюджета для</w:t>
            </w:r>
          </w:p>
        </w:tc>
      </w:tr>
      <w:tr w:rsidR="004A7B8F" w:rsidTr="00EA739D">
        <w:tc>
          <w:tcPr>
            <w:tcW w:w="9639" w:type="dxa"/>
            <w:gridSpan w:val="18"/>
          </w:tcPr>
          <w:p w:rsidR="004A7B8F" w:rsidRPr="00DE1230" w:rsidRDefault="004A7B8F" w:rsidP="00A66B0D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4A7B8F">
              <w:rPr>
                <w:sz w:val="24"/>
              </w:rPr>
              <w:t xml:space="preserve">платформы </w:t>
            </w:r>
            <w:proofErr w:type="spellStart"/>
            <w:r w:rsidRPr="004A7B8F">
              <w:rPr>
                <w:sz w:val="24"/>
              </w:rPr>
              <w:t>Android</w:t>
            </w:r>
            <w:proofErr w:type="spellEnd"/>
            <w:r w:rsidRPr="004A7B8F">
              <w:rPr>
                <w:sz w:val="24"/>
              </w:rPr>
              <w:t xml:space="preserve"> с применением </w:t>
            </w:r>
            <w:proofErr w:type="spellStart"/>
            <w:r w:rsidRPr="004A7B8F">
              <w:rPr>
                <w:sz w:val="24"/>
              </w:rPr>
              <w:t>Unit</w:t>
            </w:r>
            <w:proofErr w:type="spellEnd"/>
            <w:r w:rsidRPr="004A7B8F">
              <w:rPr>
                <w:sz w:val="24"/>
              </w:rPr>
              <w:t xml:space="preserve">-тестирования и </w:t>
            </w:r>
            <w:proofErr w:type="spellStart"/>
            <w:r w:rsidRPr="004A7B8F">
              <w:rPr>
                <w:sz w:val="24"/>
              </w:rPr>
              <w:t>Mock</w:t>
            </w:r>
            <w:proofErr w:type="spellEnd"/>
            <w:r w:rsidRPr="004A7B8F">
              <w:rPr>
                <w:sz w:val="24"/>
              </w:rPr>
              <w:t xml:space="preserve"> технологии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659A9" w:rsidRDefault="0024074C" w:rsidP="00AA3B99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659A9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659A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DE1230">
              <w:rPr>
                <w:sz w:val="24"/>
                <w:lang w:val="en-US"/>
              </w:rPr>
              <w:t>8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659A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A659A9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DE1230">
              <w:rPr>
                <w:sz w:val="24"/>
              </w:rPr>
              <w:t xml:space="preserve"> мая 2018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E1230">
              <w:rPr>
                <w:sz w:val="24"/>
                <w:lang w:val="en-US"/>
              </w:rPr>
              <w:t>Android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DE1230">
              <w:rPr>
                <w:sz w:val="24"/>
                <w:lang w:val="en-US"/>
              </w:rPr>
              <w:t>Kotlin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A659A9">
              <w:rPr>
                <w:sz w:val="24"/>
              </w:rPr>
              <w:t xml:space="preserve"> </w:t>
            </w:r>
            <w:r w:rsidR="00A659A9" w:rsidRPr="00A659A9">
              <w:rPr>
                <w:sz w:val="24"/>
              </w:rPr>
              <w:t>управление категориями расходов и доходов</w:t>
            </w:r>
            <w:r w:rsidR="00A659A9">
              <w:rPr>
                <w:sz w:val="24"/>
              </w:rPr>
              <w:t>, управление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A659A9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счетами, управление </w:t>
            </w:r>
            <w:r w:rsidR="00CB512B">
              <w:rPr>
                <w:sz w:val="24"/>
              </w:rPr>
              <w:t xml:space="preserve"> </w:t>
            </w:r>
            <w:r>
              <w:rPr>
                <w:sz w:val="24"/>
              </w:rPr>
              <w:t>транзакциями,</w:t>
            </w:r>
            <w:r w:rsidR="00CB512B">
              <w:rPr>
                <w:sz w:val="24"/>
              </w:rPr>
              <w:t xml:space="preserve">  отображение  списка  счетов,  организация  переводов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Pr="00A659A9" w:rsidRDefault="00CB512B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между счетами, списка транзакций по дням, расчёт и отображение статистики по категориям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CB512B" w:rsidP="00DC1726">
            <w:pPr>
              <w:ind w:firstLine="0"/>
              <w:rPr>
                <w:sz w:val="24"/>
              </w:rPr>
            </w:pPr>
            <w:r w:rsidRPr="00CB512B">
              <w:rPr>
                <w:sz w:val="24"/>
              </w:rPr>
              <w:t>расчёт и отображение агрегатных значений по счетам</w:t>
            </w:r>
            <w:r>
              <w:rPr>
                <w:sz w:val="24"/>
              </w:rPr>
              <w:t xml:space="preserve">,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расчёт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>и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 отображение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ежедневной 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4C5B8E" w:rsidP="00DC1726">
            <w:pPr>
              <w:ind w:firstLine="0"/>
              <w:rPr>
                <w:sz w:val="24"/>
              </w:rPr>
            </w:pPr>
            <w:r w:rsidRPr="004C5B8E">
              <w:rPr>
                <w:sz w:val="24"/>
              </w:rPr>
              <w:t>суммы расходов с учётом информации о дате поступления денег</w:t>
            </w:r>
            <w:r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1830D9">
            <w:pPr>
              <w:ind w:firstLine="0"/>
              <w:rPr>
                <w:sz w:val="24"/>
              </w:rPr>
            </w:pPr>
            <w:r w:rsidRPr="00A659A9">
              <w:rPr>
                <w:sz w:val="24"/>
              </w:rPr>
              <w:t>Назначение ра</w:t>
            </w:r>
            <w:r w:rsidR="00F03713" w:rsidRPr="00A659A9">
              <w:rPr>
                <w:sz w:val="24"/>
              </w:rPr>
              <w:t xml:space="preserve">зработки: </w:t>
            </w:r>
            <w:r w:rsidR="00A659A9">
              <w:rPr>
                <w:sz w:val="24"/>
              </w:rPr>
              <w:t>автоматизация</w:t>
            </w:r>
            <w:r w:rsidR="00A659A9" w:rsidRPr="00A659A9">
              <w:rPr>
                <w:sz w:val="24"/>
              </w:rPr>
              <w:t xml:space="preserve"> осно</w:t>
            </w:r>
            <w:r w:rsidR="00A659A9">
              <w:rPr>
                <w:sz w:val="24"/>
              </w:rPr>
              <w:t>вных задач учёта</w:t>
            </w:r>
            <w:r w:rsidR="00A659A9" w:rsidRPr="00A659A9">
              <w:rPr>
                <w:sz w:val="24"/>
              </w:rPr>
              <w:t xml:space="preserve"> персонального </w:t>
            </w:r>
            <w:r w:rsidR="00A659A9">
              <w:rPr>
                <w:sz w:val="24"/>
              </w:rPr>
              <w:t>бюджета</w:t>
            </w:r>
            <w:r w:rsidR="004C5B8E"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92236D">
            <w:pPr>
              <w:ind w:firstLine="0"/>
              <w:rPr>
                <w:sz w:val="24"/>
              </w:rPr>
            </w:pP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9260C7">
              <w:rPr>
                <w:sz w:val="24"/>
              </w:rPr>
              <w:t>Б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  <w:tr w:rsidR="00973A3A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73A3A" w:rsidRDefault="00973A3A" w:rsidP="00F6639E">
            <w:pPr>
              <w:ind w:firstLine="0"/>
              <w:rPr>
                <w:sz w:val="24"/>
              </w:rPr>
            </w:pP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D95B18" w:rsidP="008336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Процесс </w:t>
            </w:r>
            <w:r w:rsidR="008336C5">
              <w:rPr>
                <w:sz w:val="24"/>
                <w:lang w:val="en-US"/>
              </w:rPr>
              <w:t>XXX</w:t>
            </w:r>
            <w:r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EE59DA" w:rsidP="0020292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XXX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 программы</w:t>
            </w:r>
            <w:r w:rsidR="008B459E">
              <w:rPr>
                <w:sz w:val="24"/>
              </w:rPr>
              <w:t>,</w:t>
            </w:r>
            <w:r>
              <w:rPr>
                <w:sz w:val="24"/>
              </w:rPr>
              <w:t xml:space="preserve"> формат А1, листов 2.</w:t>
            </w:r>
          </w:p>
        </w:tc>
      </w:tr>
      <w:tr w:rsidR="008F28C1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D95B18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Клиентская часть приложения </w:t>
            </w:r>
            <w:r w:rsidR="00EE59DA">
              <w:rPr>
                <w:sz w:val="24"/>
                <w:lang w:val="en-US"/>
              </w:rPr>
              <w:t>XXX</w:t>
            </w:r>
            <w:r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>Схема</w:t>
            </w:r>
            <w:r w:rsidR="008B459E">
              <w:rPr>
                <w:sz w:val="24"/>
              </w:rPr>
              <w:t xml:space="preserve"> программы,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D95B18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формат А1, лист</w:t>
            </w:r>
            <w:r w:rsidR="000E0C45">
              <w:rPr>
                <w:sz w:val="24"/>
              </w:rPr>
              <w:t>ов</w:t>
            </w:r>
            <w:r>
              <w:rPr>
                <w:sz w:val="24"/>
              </w:rPr>
              <w:t xml:space="preserve"> </w:t>
            </w:r>
            <w:r w:rsidR="000E0C45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Даталогичес</w:t>
            </w:r>
            <w:r w:rsidR="00910172">
              <w:rPr>
                <w:sz w:val="24"/>
              </w:rPr>
              <w:t>кая модель базы данных.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F8378C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Оценка экономической эффективности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</w:t>
            </w:r>
            <w:proofErr w:type="spellStart"/>
            <w:r w:rsidR="009328E2">
              <w:rPr>
                <w:sz w:val="24"/>
              </w:rPr>
              <w:t>пользовате</w:t>
            </w:r>
            <w:proofErr w:type="spellEnd"/>
            <w:r w:rsidR="009328E2">
              <w:rPr>
                <w:sz w:val="24"/>
              </w:rPr>
              <w:t>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571C2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.03</w:t>
            </w:r>
            <w:r w:rsidR="00476C6E">
              <w:rPr>
                <w:sz w:val="24"/>
              </w:rPr>
              <w:t>–</w:t>
            </w:r>
            <w:r w:rsidR="00A571C2">
              <w:rPr>
                <w:sz w:val="24"/>
                <w:lang w:val="en-US"/>
              </w:rPr>
              <w:t>28</w:t>
            </w:r>
            <w:r w:rsidR="0024074C">
              <w:rPr>
                <w:sz w:val="24"/>
              </w:rPr>
              <w:t>.0</w:t>
            </w:r>
            <w:r w:rsidR="00A571C2"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11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23</w:t>
            </w:r>
            <w:r w:rsidR="00EE4554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06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06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8303C1">
              <w:rPr>
                <w:sz w:val="24"/>
              </w:rPr>
              <w:t>.05–</w:t>
            </w:r>
            <w:r w:rsidR="00A41098">
              <w:rPr>
                <w:sz w:val="24"/>
                <w:lang w:val="en-US"/>
              </w:rPr>
              <w:t>21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08"/>
        <w:gridCol w:w="1134"/>
        <w:gridCol w:w="886"/>
        <w:gridCol w:w="987"/>
        <w:gridCol w:w="723"/>
        <w:gridCol w:w="1080"/>
        <w:gridCol w:w="360"/>
        <w:gridCol w:w="1889"/>
      </w:tblGrid>
      <w:tr w:rsidR="0024074C" w:rsidTr="002E3FD1">
        <w:trPr>
          <w:cantSplit/>
          <w:trHeight w:val="342"/>
        </w:trPr>
        <w:tc>
          <w:tcPr>
            <w:tcW w:w="2408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41098">
              <w:rPr>
                <w:sz w:val="24"/>
                <w:lang w:val="en-US"/>
              </w:rPr>
              <w:t>21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0C0354">
              <w:rPr>
                <w:sz w:val="24"/>
              </w:rPr>
              <w:t>7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0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</w:t>
            </w:r>
            <w:bookmarkStart w:id="0" w:name="_GoBack"/>
            <w:bookmarkEnd w:id="0"/>
            <w:r>
              <w:rPr>
                <w:sz w:val="24"/>
              </w:rPr>
              <w:t>одитель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074C" w:rsidRDefault="0048065C" w:rsidP="002E3FD1">
            <w:pPr>
              <w:ind w:right="50" w:hanging="19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2249" w:type="dxa"/>
            <w:gridSpan w:val="2"/>
          </w:tcPr>
          <w:p w:rsidR="0024074C" w:rsidRDefault="006D4874" w:rsidP="00A41098">
            <w:pPr>
              <w:ind w:left="-250" w:hanging="3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О</w:t>
            </w:r>
            <w:r w:rsidR="0095783C" w:rsidRPr="0095783C">
              <w:rPr>
                <w:sz w:val="24"/>
              </w:rPr>
              <w:t xml:space="preserve">. </w:t>
            </w:r>
            <w:r w:rsidR="00A41098">
              <w:rPr>
                <w:sz w:val="24"/>
              </w:rPr>
              <w:t>Г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A41098">
              <w:rPr>
                <w:sz w:val="24"/>
              </w:rPr>
              <w:t>Смолякова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2E3FD1">
        <w:trPr>
          <w:gridAfter w:val="1"/>
          <w:wAfter w:w="1889" w:type="dxa"/>
          <w:cantSplit/>
          <w:trHeight w:val="275"/>
        </w:trPr>
        <w:tc>
          <w:tcPr>
            <w:tcW w:w="3542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63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A41098">
            <w:pPr>
              <w:ind w:right="-1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A41098">
              <w:rPr>
                <w:sz w:val="24"/>
              </w:rPr>
              <w:t>М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Снитовец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B92" w:rsidRDefault="00A05B92">
      <w:r>
        <w:separator/>
      </w:r>
    </w:p>
  </w:endnote>
  <w:endnote w:type="continuationSeparator" w:id="0">
    <w:p w:rsidR="00A05B92" w:rsidRDefault="00A0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B92" w:rsidRDefault="00A05B92">
      <w:r>
        <w:separator/>
      </w:r>
    </w:p>
  </w:footnote>
  <w:footnote w:type="continuationSeparator" w:id="0">
    <w:p w:rsidR="00A05B92" w:rsidRDefault="00A0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3F2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2206E"/>
    <w:rsid w:val="00222893"/>
    <w:rsid w:val="0024074C"/>
    <w:rsid w:val="002423D3"/>
    <w:rsid w:val="002500CE"/>
    <w:rsid w:val="00262C3B"/>
    <w:rsid w:val="00263097"/>
    <w:rsid w:val="00264274"/>
    <w:rsid w:val="002700D7"/>
    <w:rsid w:val="002765BB"/>
    <w:rsid w:val="002C452E"/>
    <w:rsid w:val="002E3FD1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A7B8F"/>
    <w:rsid w:val="004B11AD"/>
    <w:rsid w:val="004C16B8"/>
    <w:rsid w:val="004C1ECD"/>
    <w:rsid w:val="004C2DA2"/>
    <w:rsid w:val="004C5B8E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17CC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C7"/>
    <w:rsid w:val="009260DB"/>
    <w:rsid w:val="009328E2"/>
    <w:rsid w:val="0095783C"/>
    <w:rsid w:val="0097278A"/>
    <w:rsid w:val="00972E07"/>
    <w:rsid w:val="00972F15"/>
    <w:rsid w:val="00973A3A"/>
    <w:rsid w:val="00986D5E"/>
    <w:rsid w:val="009B1843"/>
    <w:rsid w:val="009C04B1"/>
    <w:rsid w:val="009C536C"/>
    <w:rsid w:val="009D597F"/>
    <w:rsid w:val="009D63ED"/>
    <w:rsid w:val="009E02A8"/>
    <w:rsid w:val="009E2C34"/>
    <w:rsid w:val="009F659D"/>
    <w:rsid w:val="00A05B92"/>
    <w:rsid w:val="00A13CE6"/>
    <w:rsid w:val="00A31FB7"/>
    <w:rsid w:val="00A41098"/>
    <w:rsid w:val="00A571C2"/>
    <w:rsid w:val="00A659A9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B512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1230"/>
    <w:rsid w:val="00DE412B"/>
    <w:rsid w:val="00DF2C7D"/>
    <w:rsid w:val="00E10727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Balloon Text"/>
    <w:basedOn w:val="a"/>
    <w:link w:val="ac"/>
    <w:rsid w:val="00747AB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928A-781C-4A3E-969C-1E6231BF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Mikhail Snitavets</cp:lastModifiedBy>
  <cp:revision>45</cp:revision>
  <cp:lastPrinted>2017-05-14T10:52:00Z</cp:lastPrinted>
  <dcterms:created xsi:type="dcterms:W3CDTF">2017-04-29T12:08:00Z</dcterms:created>
  <dcterms:modified xsi:type="dcterms:W3CDTF">2018-05-09T23:37:00Z</dcterms:modified>
</cp:coreProperties>
</file>