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ascii="仿宋" w:hAnsi="仿宋" w:eastAsia="仿宋"/>
          <w:sz w:val="30"/>
          <w:szCs w:val="30"/>
        </w:rPr>
        <w:t>${current_month}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</w:rPr>
        <w:t xml:space="preserve"> ${current_month} 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月的会计亏损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ascii="仿宋" w:hAnsi="仿宋" w:eastAsia="仿宋"/>
          <w:sz w:val="30"/>
          <w:szCs w:val="30"/>
        </w:rPr>
        <w:t>年 ${current_month} 月，控股共收到账面分红为</w:t>
      </w:r>
      <w:r>
        <w:rPr>
          <w:rFonts w:hint="eastAsia" w:ascii="仿宋" w:hAnsi="仿宋" w:eastAsia="仿宋"/>
          <w:sz w:val="30"/>
          <w:szCs w:val="30"/>
        </w:rPr>
        <w:t>【】万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，城投共收到账面分红【】万，主要为【】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  <w:bookmarkStart w:id="0" w:name="_GoBack"/>
      <w:bookmarkEnd w:id="0"/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3D0E5EB2"/>
    <w:rsid w:val="756FA9F5"/>
    <w:rsid w:val="7B5A49B8"/>
    <w:rsid w:val="DEDFD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2022-02-10T22:54:00Z</dcterms:created>
  <dc:creator>zhang yufei</dc:creator>
  <cp:lastModifiedBy>apple</cp:lastModifiedBy>
  <dcterms:modified xsi:type="dcterms:W3CDTF">2022-02-24T15:16:26Z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