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 xml:space="preserve">технологий искусственного интеллекта</w:t>
            </w:r>
            <w:r/>
            <w:r>
              <w:rPr>
                <w:sz w:val="24"/>
                <w:szCs w:val="24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САМОСТОЯТЕЛЬНАЯ РАБОТА №</w:t>
      </w:r>
      <w:r>
        <w:rPr>
          <w:sz w:val="32"/>
          <w:szCs w:val="32"/>
          <w:lang w:val="en-US"/>
        </w:rPr>
        <w:t xml:space="preserve"> 1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работа №1.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«Основы алгоритмизации. Построение блок-схем линейных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вычислительных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процессов»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является ознакомление с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основами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программирования на языке Си, его особенностя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ми, синтаксисом, компиляцией и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отладкой.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highlight w:val="none"/>
        </w:rPr>
      </w:r>
      <w:r>
        <w:rPr>
          <w:rFonts w:ascii="Tahoma" w:hAnsi="Tahoma" w:cs="Tahoma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Составьте и выполните программу линейной структуры согласно вариантам заданий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пункта 7.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8446" cy="2065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966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48446" cy="20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3.7pt;height:16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  <w:t xml:space="preserve">Код программы: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// lab 1.1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#include "stdio.h" // задаём заголовочный файл для вывода полученых знач.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#include "math.h" // задаём заголовочный файл для мат. функций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main() // задаём главную функцию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{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float x, y, z = 1, t = 2, xm, xb; // описываем перем. вещ. типа нек. ср. со знач.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printf("\n Procesing....");// двигаем текст и ввыводим его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y = t + z; // 1 мат. операция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xb = (y + (t * t)); // 2 мат. операция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xm = ((8 * (z * z)) + 1); // 3 мат. операция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x = xm / xb; // 4 мат. операция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b w:val="0"/>
          <w:bCs w:val="0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printf ("\n RESULT... %f", x); // выводим надпись и полученый результат</w:t>
      </w:r>
      <w:r>
        <w:rPr>
          <w:rFonts w:ascii="Tahoma" w:hAnsi="Tahoma" w:cs="Tahoma"/>
          <w:b w:val="0"/>
          <w:bCs w:val="0"/>
          <w:color w:val="000000"/>
          <w:sz w:val="24"/>
          <w:szCs w:val="24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</w:rPr>
        <w:t xml:space="preserve">    return 0; // возвращаем значение главной функции</w:t>
      </w:r>
      <w:r>
        <w:rPr>
          <w:rFonts w:ascii="Tahoma" w:hAnsi="Tahoma" w:cs="Tahoma"/>
          <w:b/>
          <w:bCs/>
          <w:color w:val="000000"/>
          <w:sz w:val="24"/>
          <w:szCs w:val="24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Блок-схема: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45121" cy="33923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832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45121" cy="3392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7.4pt;height:267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Скриншот выполнения программы: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2415" cy="8158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71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72414" cy="815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7pt;height:6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ahoma" w:hAnsi="Tahoma" w:cs="Tahoma"/>
          <w:b/>
          <w:bCs/>
          <w:sz w:val="28"/>
          <w:szCs w:val="28"/>
          <w:highlight w:val="none"/>
          <w:vertAlign w:val="baseli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vertAlign w:val="baseline"/>
        </w:rPr>
        <w:t xml:space="preserve">Контрольные вопросы:</w:t>
      </w:r>
      <w:r>
        <w:rPr>
          <w:rFonts w:ascii="Tahoma" w:hAnsi="Tahoma" w:cs="Tahoma"/>
          <w:b/>
          <w:bCs/>
          <w:sz w:val="28"/>
          <w:szCs w:val="28"/>
          <w:highlight w:val="none"/>
          <w:vertAlign w:val="baseline"/>
        </w:rPr>
      </w:r>
    </w:p>
    <w:p>
      <w:p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</w:rPr>
        <w:t xml:space="preserve">1 – Алгоритм (программа) линейной структуры это, когда выполняемые действия выполняются последовательно и алгоритм(программа) не имеет в себе каких-либо условий, которые могут повлиять на, то, как будет проходить выполнение алгоритма (программы). 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</w:rPr>
        <w:t xml:space="preserve">2 – Заголовочные файлы используются для того что бы загрузить какие-либо «установки» для нормального функционирования программы, как на пример 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match.h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, который позволяет вести работу со сложными мат. операциями.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</w:rPr>
      </w:r>
    </w:p>
    <w:p>
      <w:p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3 – Структура программы на языке Си представляет из себя следующую структуру: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853"/>
        <w:numPr>
          <w:ilvl w:val="0"/>
          <w:numId w:val="24"/>
        </w:num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Заголовочные файлы.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853"/>
        <w:numPr>
          <w:ilvl w:val="0"/>
          <w:numId w:val="24"/>
        </w:num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Основная функция 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main.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853"/>
        <w:numPr>
          <w:ilvl w:val="0"/>
          <w:numId w:val="24"/>
        </w:numPr>
        <w:jc w:val="left"/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Под функции.</w:t>
      </w:r>
      <w:r>
        <w:rPr>
          <w:rFonts w:ascii="Tahoma" w:hAnsi="Tahoma" w:cs="Tahoma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7</cp:revision>
  <dcterms:created xsi:type="dcterms:W3CDTF">2021-12-23T10:52:00Z</dcterms:created>
  <dcterms:modified xsi:type="dcterms:W3CDTF">2023-09-09T15:24:44Z</dcterms:modified>
</cp:coreProperties>
</file>