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34"/>
          <w:szCs w:val="34"/>
        </w:rPr>
        <w:t xml:space="preserve">Kopitiam Rhythm — progress checkpoint</w:t>
      </w:r>
    </w:p>
    <w:p>
      <w:pPr>
        <w:spacing w:after="40"/>
      </w:pPr>
      <w:r>
        <w:rPr>
          <w:rFonts w:ascii="Calibri" w:cs="Calibri" w:eastAsia="Calibri" w:hAnsi="Calibri"/>
          <w:i/>
          <w:iCs/>
          <w:color w:val="595959"/>
          <w:sz w:val="22"/>
          <w:szCs w:val="22"/>
        </w:rPr>
        <w:t xml:space="preserve">Can a self-administered rhythm game train the internal clock in older adults?</w:t>
      </w:r>
    </w:p>
    <w:p>
      <w:pPr>
        <w:pBdr>
          <w:bottom w:val="single" w:color="1F3864" w:sz="6" w:space="6"/>
        </w:pBdr>
        <w:spacing w:after="200"/>
      </w:pPr>
      <w:r>
        <w:rPr>
          <w:rFonts w:ascii="Calibri" w:cs="Calibri" w:eastAsia="Calibri" w:hAnsi="Calibri"/>
          <w:color w:val="595959"/>
          <w:sz w:val="20"/>
          <w:szCs w:val="20"/>
        </w:rPr>
        <w:t xml:space="preserve">Benjamin Yeoh · Final Year Project · 21 September 2026 · for supervisor review</w:t>
      </w:r>
    </w:p>
    <w:p>
      <w:pPr>
        <w:pStyle w:val="Heading1"/>
        <w:keepNext/>
        <w:spacing w:after="120" w:before="280"/>
      </w:pPr>
      <w:r>
        <w:t xml:space="preserve">1. In short</w:t>
      </w:r>
    </w:p>
    <w:p>
      <w:pPr>
        <w:spacing w:after="120" w:line="276"/>
      </w:pPr>
      <w:r>
        <w:rPr>
          <w:rFonts w:ascii="Calibri" w:cs="Calibri" w:eastAsia="Calibri" w:hAnsi="Calibri"/>
          <w:sz w:val="21"/>
          <w:szCs w:val="21"/>
        </w:rPr>
        <w:t xml:space="preserve">The measurement chain for the primary outcome now runs end to end on a real tablet: the participant’s natural tempo is measured and locked (C2), they tap along to a cued beat (R1), the cue is withdrawn and their continuation is scored (R4). The tablet’s touch and audio timing have been measured rather than assumed, and the numbers support using it. What does not yet exist: saving of data, the two-hand and mirror blocks (R2, R3), the vocal block (V1), the session structure and the cue-fading ladder. The immediate next step is persistence, because at present every run is discarded when the screen closes.</w:t>
      </w:r>
    </w:p>
    <w:p>
      <w:pPr>
        <w:spacing w:after="120" w:line="276"/>
      </w:pPr>
      <w:r>
        <w:rPr>
          <w:rFonts w:ascii="Calibri" w:cs="Calibri" w:eastAsia="Calibri" w:hAnsi="Calibri"/>
          <w:sz w:val="21"/>
          <w:szCs w:val="21"/>
        </w:rPr>
        <w:t xml:space="preserve">Five decisions need your view (section 6). </w:t>
      </w:r>
      <w:r>
        <w:rPr>
          <w:rFonts w:ascii="Calibri" w:cs="Calibri" w:eastAsia="Calibri" w:hAnsi="Calibri"/>
          <w:i/>
          <w:iCs/>
          <w:sz w:val="21"/>
          <w:szCs w:val="21"/>
        </w:rPr>
        <w:t xml:space="preserve">Nothing has been collected from participants; every figure below is from the author on the development device.</w:t>
      </w:r>
    </w:p>
    <w:p>
      <w:pPr>
        <w:pStyle w:val="Heading1"/>
        <w:keepNext/>
        <w:spacing w:after="120" w:before="280"/>
      </w:pPr>
      <w:r>
        <w:t xml:space="preserve">2. Built against the proposal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2891"/>
        <w:gridCol w:w="1253"/>
        <w:gridCol w:w="4241"/>
      </w:tblGrid>
      <w:tr>
        <w:trPr>
          <w:tblHeader/>
        </w:trPr>
        <w:tc>
          <w:tcPr>
            <w:tcW w:type="dxa" w:w="1253"/>
            <w:tcBorders>
              <w:top w:val="single" w:color="BFBFBF" w:sz="4"/>
              <w:left w:val="single" w:color="BFBFBF" w:sz="4"/>
              <w:bottom w:val="single" w:color="BFBFBF" w:sz="4"/>
              <w:right w:val="single" w:color="BFBFBF" w:sz="4"/>
            </w:tcBorders>
            <w:shd w:fill="EFEFEF" w:color="auto" w:val="clear"/>
            <w:tcMar>
              <w:top w:type="dxa" w:w="60"/>
              <w:left w:type="dxa" w:w="90"/>
              <w:bottom w:type="dxa" w:w="60"/>
              <w:right w:type="dxa" w:w="90"/>
            </w:tcMar>
          </w:tcPr>
          <w:p>
            <w:pPr>
              <w:spacing w:after="0" w:line="259"/>
            </w:pPr>
            <w:r>
              <w:rPr>
                <w:rFonts w:ascii="Calibri" w:cs="Calibri" w:eastAsia="Calibri" w:hAnsi="Calibri"/>
                <w:b/>
                <w:bCs/>
                <w:sz w:val="21"/>
                <w:szCs w:val="21"/>
              </w:rPr>
              <w:t xml:space="preserve">Block</w:t>
            </w:r>
          </w:p>
        </w:tc>
        <w:tc>
          <w:tcPr>
            <w:tcW w:type="dxa" w:w="2891"/>
            <w:tcBorders>
              <w:top w:val="single" w:color="BFBFBF" w:sz="4"/>
              <w:left w:val="single" w:color="BFBFBF" w:sz="4"/>
              <w:bottom w:val="single" w:color="BFBFBF" w:sz="4"/>
              <w:right w:val="single" w:color="BFBFBF" w:sz="4"/>
            </w:tcBorders>
            <w:shd w:fill="EFEFEF" w:color="auto" w:val="clear"/>
            <w:tcMar>
              <w:top w:type="dxa" w:w="60"/>
              <w:left w:type="dxa" w:w="90"/>
              <w:bottom w:type="dxa" w:w="60"/>
              <w:right w:type="dxa" w:w="90"/>
            </w:tcMar>
          </w:tcPr>
          <w:p>
            <w:pPr>
              <w:spacing w:after="0" w:line="259"/>
            </w:pPr>
            <w:r>
              <w:rPr>
                <w:rFonts w:ascii="Calibri" w:cs="Calibri" w:eastAsia="Calibri" w:hAnsi="Calibri"/>
                <w:b/>
                <w:bCs/>
                <w:sz w:val="21"/>
                <w:szCs w:val="21"/>
              </w:rPr>
              <w:t xml:space="preserve">Role in the proposal</w:t>
            </w:r>
          </w:p>
        </w:tc>
        <w:tc>
          <w:tcPr>
            <w:tcW w:type="dxa" w:w="1253"/>
            <w:tcBorders>
              <w:top w:val="single" w:color="BFBFBF" w:sz="4"/>
              <w:left w:val="single" w:color="BFBFBF" w:sz="4"/>
              <w:bottom w:val="single" w:color="BFBFBF" w:sz="4"/>
              <w:right w:val="single" w:color="BFBFBF" w:sz="4"/>
            </w:tcBorders>
            <w:shd w:fill="EFEFEF" w:color="auto" w:val="clear"/>
            <w:tcMar>
              <w:top w:type="dxa" w:w="60"/>
              <w:left w:type="dxa" w:w="90"/>
              <w:bottom w:type="dxa" w:w="60"/>
              <w:right w:type="dxa" w:w="90"/>
            </w:tcMar>
          </w:tcPr>
          <w:p>
            <w:pPr>
              <w:spacing w:after="0" w:line="259"/>
            </w:pPr>
            <w:r>
              <w:rPr>
                <w:rFonts w:ascii="Calibri" w:cs="Calibri" w:eastAsia="Calibri" w:hAnsi="Calibri"/>
                <w:b/>
                <w:bCs/>
                <w:sz w:val="21"/>
                <w:szCs w:val="21"/>
              </w:rPr>
              <w:t xml:space="preserve">Status</w:t>
            </w:r>
          </w:p>
        </w:tc>
        <w:tc>
          <w:tcPr>
            <w:tcW w:type="dxa" w:w="4241"/>
            <w:tcBorders>
              <w:top w:val="single" w:color="BFBFBF" w:sz="4"/>
              <w:left w:val="single" w:color="BFBFBF" w:sz="4"/>
              <w:bottom w:val="single" w:color="BFBFBF" w:sz="4"/>
              <w:right w:val="single" w:color="BFBFBF" w:sz="4"/>
            </w:tcBorders>
            <w:shd w:fill="EFEFEF" w:color="auto" w:val="clear"/>
            <w:tcMar>
              <w:top w:type="dxa" w:w="60"/>
              <w:left w:type="dxa" w:w="90"/>
              <w:bottom w:type="dxa" w:w="60"/>
              <w:right w:type="dxa" w:w="90"/>
            </w:tcMar>
          </w:tcPr>
          <w:p>
            <w:pPr>
              <w:spacing w:after="0" w:line="259"/>
            </w:pPr>
            <w:r>
              <w:rPr>
                <w:rFonts w:ascii="Calibri" w:cs="Calibri" w:eastAsia="Calibri" w:hAnsi="Calibri"/>
                <w:b/>
                <w:bCs/>
                <w:sz w:val="21"/>
                <w:szCs w:val="21"/>
              </w:rPr>
              <w:t xml:space="preserve">What exists</w:t>
            </w:r>
          </w:p>
        </w:tc>
      </w:tr>
      <w:tr>
        <w:trPr>
          <w:cantSplit/>
        </w:trPr>
        <w:tc>
          <w:tcPr>
            <w:tcW w:type="dxa" w:w="12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C1 Speed tap</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Motor covariate</w:t>
            </w:r>
          </w:p>
        </w:tc>
        <w:tc>
          <w:tcPr>
            <w:tcW w:type="dxa" w:w="12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 built</w:t>
            </w:r>
          </w:p>
        </w:tc>
        <w:tc>
          <w:tcPr>
            <w:tcW w:type="dxa" w:w="42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10 s per hand. Window starts on the first tap, not the “ready” press — a real-data finding: the hand-positioning gap was under-reporting rate by 8.5%.</w:t>
            </w:r>
          </w:p>
        </w:tc>
      </w:tr>
      <w:tr>
        <w:trPr>
          <w:cantSplit/>
        </w:trPr>
        <w:tc>
          <w:tcPr>
            <w:tcW w:type="dxa" w:w="12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C2 Natural tempo</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Calibration</w:t>
            </w:r>
          </w:p>
        </w:tc>
        <w:tc>
          <w:tcPr>
            <w:tcW w:type="dxa" w:w="12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 built</w:t>
            </w:r>
          </w:p>
        </w:tc>
        <w:tc>
          <w:tcPr>
            <w:tcW w:type="dxa" w:w="42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Median inter-tap interval, clamped 500–900 ms, locked and used by every later block.</w:t>
            </w:r>
          </w:p>
        </w:tc>
      </w:tr>
      <w:tr>
        <w:trPr>
          <w:cantSplit/>
        </w:trPr>
        <w:tc>
          <w:tcPr>
            <w:tcW w:type="dxa" w:w="12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R1 One hand, cued</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Baseline synchronisation</w:t>
            </w:r>
          </w:p>
        </w:tc>
        <w:tc>
          <w:tcPr>
            <w:tcW w:type="dxa" w:w="12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 built</w:t>
            </w:r>
          </w:p>
        </w:tc>
        <w:tc>
          <w:tcPr>
            <w:tcW w:type="dxa" w:w="42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Visual cue (a turning table of cups arriving at a kettle) plus a 1 kHz, 30 ms click. Lead-in is two beats of visible approach; no count-in.</w:t>
            </w:r>
          </w:p>
        </w:tc>
      </w:tr>
      <w:tr>
        <w:trPr>
          <w:cantSplit/>
        </w:trPr>
        <w:tc>
          <w:tcPr>
            <w:tcW w:type="dxa" w:w="12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R2 Two hands</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Measure / difficulty tier</w:t>
            </w:r>
          </w:p>
        </w:tc>
        <w:tc>
          <w:tcPr>
            <w:tcW w:type="dxa" w:w="12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 not started</w:t>
            </w:r>
          </w:p>
        </w:tc>
        <w:tc>
          <w:tcPr>
            <w:tcW w:type="dxa" w:w="42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October.</w:t>
            </w:r>
          </w:p>
        </w:tc>
      </w:tr>
      <w:tr>
        <w:trPr>
          <w:cantSplit/>
        </w:trPr>
        <w:tc>
          <w:tcPr>
            <w:tcW w:type="dxa" w:w="12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R3 Mirror mode</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Crossing cost</w:t>
            </w:r>
          </w:p>
        </w:tc>
        <w:tc>
          <w:tcPr>
            <w:tcW w:type="dxa" w:w="12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 not started</w:t>
            </w:r>
          </w:p>
        </w:tc>
        <w:tc>
          <w:tcPr>
            <w:tcW w:type="dxa" w:w="42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October. Constants (12% slower, practice trial, comprehension check) are already in the protocol file.</w:t>
            </w:r>
          </w:p>
        </w:tc>
      </w:tr>
      <w:tr>
        <w:trPr>
          <w:cantSplit/>
        </w:trPr>
        <w:tc>
          <w:tcPr>
            <w:tcW w:type="dxa" w:w="12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R4 Blackout</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Primary outcome</w:t>
            </w:r>
          </w:p>
        </w:tc>
        <w:tc>
          <w:tcPr>
            <w:tcW w:type="dxa" w:w="12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 built</w:t>
            </w:r>
          </w:p>
        </w:tc>
        <w:tc>
          <w:tcPr>
            <w:tcW w:type="dxa" w:w="42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Eight cued beats, then sound and picture stop and the beat keeps falling unseen; 25 s of continuation; three clicks at the end anchor the recording. Continuation CV, cue dependence and drift are computed.</w:t>
            </w:r>
          </w:p>
        </w:tc>
      </w:tr>
      <w:tr>
        <w:trPr>
          <w:cantSplit/>
        </w:trPr>
        <w:tc>
          <w:tcPr>
            <w:tcW w:type="dxa" w:w="12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V1 Vocal</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Second effector</w:t>
            </w:r>
          </w:p>
        </w:tc>
        <w:tc>
          <w:tcPr>
            <w:tcW w:type="dxa" w:w="125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 not started</w:t>
            </w:r>
          </w:p>
        </w:tc>
        <w:tc>
          <w:tcPr>
            <w:tcW w:type="dxa" w:w="424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November. Feasibility on this tablet checked today (section 4).</w:t>
            </w:r>
          </w:p>
        </w:tc>
      </w:tr>
    </w:tbl>
    <w:p>
      <w:pPr>
        <w:spacing w:after="80"/>
      </w:pPr>
    </w:p>
    <w:p>
      <w:pPr>
        <w:spacing w:after="120" w:line="276"/>
      </w:pPr>
      <w:r>
        <w:rPr>
          <w:rFonts w:ascii="Calibri" w:cs="Calibri" w:eastAsia="Calibri" w:hAnsi="Calibri"/>
          <w:b/>
          <w:bCs/>
          <w:sz w:val="21"/>
          <w:szCs w:val="21"/>
        </w:rPr>
        <w:t xml:space="preserve">Underneath the blocks: </w:t>
      </w:r>
      <w:r>
        <w:rPr>
          <w:rFonts w:ascii="Calibri" w:cs="Calibri" w:eastAsia="Calibri" w:hAnsi="Calibri"/>
          <w:sz w:val="21"/>
          <w:szCs w:val="21"/>
        </w:rPr>
        <w:t xml:space="preserve">every study constant lives in one versioned file (protocol v1.5.0) that a test locks — a value cannot change without the version moving and the reason being recorded; randomness is seeded so any session is regenerable; raw timestamps are stored and never corrected in place; rejected taps are kept with a reason, never dropped. 190 automated tests, all passing.</w:t>
      </w:r>
    </w:p>
    <w:p>
      <w:pPr>
        <w:pStyle w:val="Heading1"/>
        <w:keepNext/>
        <w:spacing w:after="120" w:before="280"/>
      </w:pPr>
      <w:r>
        <w:t xml:space="preserve">3. First results (author, n = 1, development device)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3470"/>
        <w:gridCol w:w="4626"/>
      </w:tblGrid>
      <w:tr>
        <w:trPr>
          <w:tblHeader/>
        </w:trPr>
        <w:tc>
          <w:tcPr>
            <w:tcW w:type="dxa" w:w="1542"/>
            <w:tcBorders>
              <w:top w:val="single" w:color="BFBFBF" w:sz="4"/>
              <w:left w:val="single" w:color="BFBFBF" w:sz="4"/>
              <w:bottom w:val="single" w:color="BFBFBF" w:sz="4"/>
              <w:right w:val="single" w:color="BFBFBF" w:sz="4"/>
            </w:tcBorders>
            <w:shd w:fill="EFEFEF" w:color="auto" w:val="clear"/>
            <w:tcMar>
              <w:top w:type="dxa" w:w="60"/>
              <w:left w:type="dxa" w:w="90"/>
              <w:bottom w:type="dxa" w:w="60"/>
              <w:right w:type="dxa" w:w="90"/>
            </w:tcMar>
          </w:tcPr>
          <w:p>
            <w:pPr>
              <w:spacing w:after="0" w:line="259"/>
            </w:pPr>
            <w:r>
              <w:rPr>
                <w:rFonts w:ascii="Calibri" w:cs="Calibri" w:eastAsia="Calibri" w:hAnsi="Calibri"/>
                <w:b/>
                <w:bCs/>
                <w:sz w:val="21"/>
                <w:szCs w:val="21"/>
              </w:rPr>
              <w:t xml:space="preserve">Block</w:t>
            </w:r>
          </w:p>
        </w:tc>
        <w:tc>
          <w:tcPr>
            <w:tcW w:type="dxa" w:w="3470"/>
            <w:tcBorders>
              <w:top w:val="single" w:color="BFBFBF" w:sz="4"/>
              <w:left w:val="single" w:color="BFBFBF" w:sz="4"/>
              <w:bottom w:val="single" w:color="BFBFBF" w:sz="4"/>
              <w:right w:val="single" w:color="BFBFBF" w:sz="4"/>
            </w:tcBorders>
            <w:shd w:fill="EFEFEF" w:color="auto" w:val="clear"/>
            <w:tcMar>
              <w:top w:type="dxa" w:w="60"/>
              <w:left w:type="dxa" w:w="90"/>
              <w:bottom w:type="dxa" w:w="60"/>
              <w:right w:type="dxa" w:w="90"/>
            </w:tcMar>
          </w:tcPr>
          <w:p>
            <w:pPr>
              <w:spacing w:after="0" w:line="259"/>
            </w:pPr>
            <w:r>
              <w:rPr>
                <w:rFonts w:ascii="Calibri" w:cs="Calibri" w:eastAsia="Calibri" w:hAnsi="Calibri"/>
                <w:b/>
                <w:bCs/>
                <w:sz w:val="21"/>
                <w:szCs w:val="21"/>
              </w:rPr>
              <w:t xml:space="preserve">Result</w:t>
            </w:r>
          </w:p>
        </w:tc>
        <w:tc>
          <w:tcPr>
            <w:tcW w:type="dxa" w:w="4626"/>
            <w:tcBorders>
              <w:top w:val="single" w:color="BFBFBF" w:sz="4"/>
              <w:left w:val="single" w:color="BFBFBF" w:sz="4"/>
              <w:bottom w:val="single" w:color="BFBFBF" w:sz="4"/>
              <w:right w:val="single" w:color="BFBFBF" w:sz="4"/>
            </w:tcBorders>
            <w:shd w:fill="EFEFEF" w:color="auto" w:val="clear"/>
            <w:tcMar>
              <w:top w:type="dxa" w:w="60"/>
              <w:left w:type="dxa" w:w="90"/>
              <w:bottom w:type="dxa" w:w="60"/>
              <w:right w:type="dxa" w:w="90"/>
            </w:tcMar>
          </w:tcPr>
          <w:p>
            <w:pPr>
              <w:spacing w:after="0" w:line="259"/>
            </w:pPr>
            <w:r>
              <w:rPr>
                <w:rFonts w:ascii="Calibri" w:cs="Calibri" w:eastAsia="Calibri" w:hAnsi="Calibri"/>
                <w:b/>
                <w:bCs/>
                <w:sz w:val="21"/>
                <w:szCs w:val="21"/>
              </w:rPr>
              <w:t xml:space="preserve">What it tells us</w:t>
            </w:r>
          </w:p>
        </w:tc>
      </w:tr>
      <w:tr>
        <w:trPr>
          <w:cantSplit/>
        </w:trPr>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C1</w:t>
            </w:r>
          </w:p>
        </w:tc>
        <w:tc>
          <w:tcPr>
            <w:tcW w:type="dxa" w:w="34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6.8 taps/s, interval CV 8.3% (release build)</w:t>
            </w:r>
          </w:p>
        </w:tc>
        <w:tc>
          <w:tcPr>
            <w:tcW w:type="dxa" w:w="4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Healthy young-adult figures. Older adults will be slower and more variable.</w:t>
            </w:r>
          </w:p>
        </w:tc>
      </w:tr>
      <w:tr>
        <w:trPr>
          <w:cantSplit/>
        </w:trPr>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R1 (visual cue only, before audio was built)</w:t>
            </w:r>
          </w:p>
        </w:tc>
        <w:tc>
          <w:tcPr>
            <w:tcW w:type="dxa" w:w="34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16/16 beats hit, mean asynchrony −6 ms, SD 48 ms</w:t>
            </w:r>
          </w:p>
        </w:tc>
        <w:tc>
          <w:tcPr>
            <w:tcW w:type="dxa" w:w="4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About twice the SD an auditory cue is expected to give — consistent with the visual-versus-auditory synchronisation literature. The audio cue now exists; this comparison is what it was built for.</w:t>
            </w:r>
          </w:p>
        </w:tc>
      </w:tr>
      <w:tr>
        <w:trPr>
          <w:cantSplit/>
        </w:trPr>
        <w:tc>
          <w:tcPr>
            <w:tcW w:type="dxa" w:w="154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R4 (700 ms tempo, 8 cued + 35 phantom beats)</w:t>
            </w:r>
          </w:p>
        </w:tc>
        <w:tc>
          <w:tcPr>
            <w:tcW w:type="dxa" w:w="347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Continuation CV 5.1%; tempo drift +9.4% (slowing); first tap +103 ms late</w:t>
            </w:r>
          </w:p>
        </w:tc>
        <w:tc>
          <w:tcPr>
            <w:tcW w:type="dxa" w:w="462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The primary outcome is computable from the log. The drift shows the analysis must detrend before computing variability (planned). The late first tap is the known first-beat problem; BAASTA discards the first taps and so will we.</w:t>
            </w:r>
          </w:p>
        </w:tc>
      </w:tr>
    </w:tbl>
    <w:p>
      <w:pPr>
        <w:pStyle w:val="Heading1"/>
        <w:keepNext/>
        <w:spacing w:after="120" w:before="280"/>
      </w:pPr>
      <w:r>
        <w:t xml:space="preserve">4. What was measured on the tablet (Samsung Galaxy Tab A7 Lite)</w:t>
      </w:r>
    </w:p>
    <w:p>
      <w:pPr>
        <w:spacing w:after="120" w:line="276"/>
      </w:pPr>
      <w:r>
        <w:rPr>
          <w:rFonts w:ascii="Calibri" w:cs="Calibri" w:eastAsia="Calibri" w:hAnsi="Calibri"/>
          <w:sz w:val="21"/>
          <w:szCs w:val="21"/>
        </w:rPr>
        <w:t xml:space="preserve">A timing bug found after collection cannot be fixed, so the device was characterised before building further. “Measured” means measured on this device by the app or by the operating system; the last row lists what remains unknown.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2891"/>
        <w:gridCol w:w="4048"/>
      </w:tblGrid>
      <w:tr>
        <w:trPr>
          <w:tblHeader/>
        </w:trPr>
        <w:tc>
          <w:tcPr>
            <w:tcW w:type="dxa" w:w="2699"/>
            <w:tcBorders>
              <w:top w:val="single" w:color="BFBFBF" w:sz="4"/>
              <w:left w:val="single" w:color="BFBFBF" w:sz="4"/>
              <w:bottom w:val="single" w:color="BFBFBF" w:sz="4"/>
              <w:right w:val="single" w:color="BFBFBF" w:sz="4"/>
            </w:tcBorders>
            <w:shd w:fill="EFEFEF" w:color="auto" w:val="clear"/>
            <w:tcMar>
              <w:top w:type="dxa" w:w="60"/>
              <w:left w:type="dxa" w:w="90"/>
              <w:bottom w:type="dxa" w:w="60"/>
              <w:right w:type="dxa" w:w="90"/>
            </w:tcMar>
          </w:tcPr>
          <w:p>
            <w:pPr>
              <w:spacing w:after="0" w:line="259"/>
            </w:pPr>
            <w:r>
              <w:rPr>
                <w:rFonts w:ascii="Calibri" w:cs="Calibri" w:eastAsia="Calibri" w:hAnsi="Calibri"/>
                <w:b/>
                <w:bCs/>
                <w:sz w:val="21"/>
                <w:szCs w:val="21"/>
              </w:rPr>
              <w:t xml:space="preserve">Property</w:t>
            </w:r>
          </w:p>
        </w:tc>
        <w:tc>
          <w:tcPr>
            <w:tcW w:type="dxa" w:w="2891"/>
            <w:tcBorders>
              <w:top w:val="single" w:color="BFBFBF" w:sz="4"/>
              <w:left w:val="single" w:color="BFBFBF" w:sz="4"/>
              <w:bottom w:val="single" w:color="BFBFBF" w:sz="4"/>
              <w:right w:val="single" w:color="BFBFBF" w:sz="4"/>
            </w:tcBorders>
            <w:shd w:fill="EFEFEF" w:color="auto" w:val="clear"/>
            <w:tcMar>
              <w:top w:type="dxa" w:w="60"/>
              <w:left w:type="dxa" w:w="90"/>
              <w:bottom w:type="dxa" w:w="60"/>
              <w:right w:type="dxa" w:w="90"/>
            </w:tcMar>
          </w:tcPr>
          <w:p>
            <w:pPr>
              <w:spacing w:after="0" w:line="259"/>
            </w:pPr>
            <w:r>
              <w:rPr>
                <w:rFonts w:ascii="Calibri" w:cs="Calibri" w:eastAsia="Calibri" w:hAnsi="Calibri"/>
                <w:b/>
                <w:bCs/>
                <w:sz w:val="21"/>
                <w:szCs w:val="21"/>
              </w:rPr>
              <w:t xml:space="preserve">Measured</w:t>
            </w:r>
          </w:p>
        </w:tc>
        <w:tc>
          <w:tcPr>
            <w:tcW w:type="dxa" w:w="4048"/>
            <w:tcBorders>
              <w:top w:val="single" w:color="BFBFBF" w:sz="4"/>
              <w:left w:val="single" w:color="BFBFBF" w:sz="4"/>
              <w:bottom w:val="single" w:color="BFBFBF" w:sz="4"/>
              <w:right w:val="single" w:color="BFBFBF" w:sz="4"/>
            </w:tcBorders>
            <w:shd w:fill="EFEFEF" w:color="auto" w:val="clear"/>
            <w:tcMar>
              <w:top w:type="dxa" w:w="60"/>
              <w:left w:type="dxa" w:w="90"/>
              <w:bottom w:type="dxa" w:w="60"/>
              <w:right w:type="dxa" w:w="90"/>
            </w:tcMar>
          </w:tcPr>
          <w:p>
            <w:pPr>
              <w:spacing w:after="0" w:line="259"/>
            </w:pPr>
            <w:r>
              <w:rPr>
                <w:rFonts w:ascii="Calibri" w:cs="Calibri" w:eastAsia="Calibri" w:hAnsi="Calibri"/>
                <w:b/>
                <w:bCs/>
                <w:sz w:val="21"/>
                <w:szCs w:val="21"/>
              </w:rPr>
              <w:t xml:space="preserve">Meaning for the study</w:t>
            </w:r>
          </w:p>
        </w:tc>
      </w:tr>
      <w:tr>
        <w:trPr>
          <w:cantSplit/>
        </w:trP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Touch panel scan rate</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~120 Hz (8.3 ms period)</w:t>
            </w:r>
          </w:p>
        </w:tc>
        <w:tc>
          <w:tcPr>
            <w:tcW w:type="dxa" w:w="40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A tap is timed to within 8 ms, uniformly — about 2.4 ms SD per tap. Small against a 25–35 ms behavioural SD.</w:t>
            </w:r>
          </w:p>
        </w:tc>
      </w:tr>
      <w:tr>
        <w:trPr>
          <w:cantSplit/>
        </w:trP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Audio path</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48 kHz; low-latency path granted; zero underruns; clock fit residual 0.012 ms; same clock base as touch</w:t>
            </w:r>
          </w:p>
        </w:tc>
        <w:tc>
          <w:tcPr>
            <w:tcW w:type="dxa" w:w="40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Clicks are placed on the sample grid and the audio clock is mapped to the touch clock with ~10 µs spread. Beat times and tap times are on one clock.</w:t>
            </w:r>
          </w:p>
        </w:tc>
      </w:tr>
      <w:tr>
        <w:trPr>
          <w:cantSplit/>
        </w:trP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Touch delivery jitter (SD of touch-to-app delay)</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1.1 ms on a release build; 3.8–4.4 ms on debug builds</w:t>
            </w:r>
          </w:p>
        </w:tc>
        <w:tc>
          <w:tcPr>
            <w:tcW w:type="dxa" w:w="40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Study runs release builds only. Scored taps use kernel timestamps, so this mostly does not reach the data; a native hook (M8) will make that defensible.</w:t>
            </w:r>
          </w:p>
        </w:tc>
      </w:tr>
      <w:tr>
        <w:trPr>
          <w:cantSplit/>
        </w:trP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Click regularity as heard (mic recording of the speaker)</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All 15 gaps 700.000 ms, to within one sample (0.02 ms)</w:t>
            </w:r>
          </w:p>
        </w:tc>
        <w:tc>
          <w:tcPr>
            <w:tcW w:type="dxa" w:w="40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What leaves the speaker is as regular as what was put in the buffer. Single recording, third-party recorder app.</w:t>
            </w:r>
          </w:p>
        </w:tc>
      </w:tr>
      <w:tr>
        <w:trPr>
          <w:cantSplit/>
        </w:trP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Microphone (for V1)</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Voice 29 dB above the room floor; the click is sharp (~1 ms onset) and separable from voice by a band-pass filter, even when chanted over</w:t>
            </w:r>
          </w:p>
        </w:tc>
        <w:tc>
          <w:tcPr>
            <w:tcW w:type="dxa" w:w="40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V1’s plan — recording the tablet’s own click through the mic to align the voice to the beat — is viable on this device.</w:t>
            </w:r>
          </w:p>
        </w:tc>
      </w:tr>
      <w:tr>
        <w:trPr>
          <w:cantSplit/>
        </w:trPr>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Not yet measured</w:t>
            </w:r>
          </w:p>
        </w:tc>
        <w:tc>
          <w:tcPr>
            <w:tcW w:type="dxa" w:w="289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Absolute speaker latency (needs the loopback test, M10); in-app recording with an unprocessed mic source; recording and playback in one process</w:t>
            </w:r>
          </w:p>
        </w:tc>
        <w:tc>
          <w:tcPr>
            <w:tcW w:type="dxa" w:w="40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Constant latency cancels from every interval measure; it matters only for absolute asynchrony, and will be calibrated per tablet.</w:t>
            </w:r>
          </w:p>
        </w:tc>
      </w:tr>
    </w:tbl>
    <w:p>
      <w:pPr>
        <w:pStyle w:val="Heading1"/>
        <w:keepNext/>
        <w:spacing w:after="120" w:before="280"/>
      </w:pPr>
      <w:r>
        <w:t xml:space="preserve">5. Decisions taken since the proposal (please confirm)</w:t>
      </w:r>
    </w:p>
    <w:p>
      <w:pPr>
        <w:pStyle w:val="ListParagraph"/>
        <w:numPr>
          <w:ilvl w:val="0"/>
          <w:numId w:val="2"/>
        </w:numPr>
        <w:spacing w:after="80" w:line="276"/>
      </w:pPr>
      <w:r>
        <w:rPr>
          <w:rFonts w:ascii="Calibri" w:cs="Calibri" w:eastAsia="Calibri" w:hAnsi="Calibri"/>
          <w:b/>
          <w:bCs/>
          <w:sz w:val="21"/>
          <w:szCs w:val="21"/>
        </w:rPr>
        <w:t xml:space="preserve">Measurement sessions use a fixed eight cued beats at the locked tempo. </w:t>
      </w:r>
      <w:r>
        <w:rPr>
          <w:rFonts w:ascii="Calibri" w:cs="Calibri" w:eastAsia="Calibri" w:hAnsi="Calibri"/>
          <w:sz w:val="21"/>
          <w:szCs w:val="21"/>
        </w:rPr>
        <w:t xml:space="preserve">Not a random cut-off: knowing when the cue stops does not help keep time without it, and a varying cued count would confound the primary outcome (more cue → steadier continuation). Variation lives in the training ladder only.</w:t>
      </w:r>
    </w:p>
    <w:p>
      <w:pPr>
        <w:pStyle w:val="ListParagraph"/>
        <w:numPr>
          <w:ilvl w:val="0"/>
          <w:numId w:val="2"/>
        </w:numPr>
        <w:spacing w:after="80" w:line="276"/>
      </w:pPr>
      <w:r>
        <w:rPr>
          <w:rFonts w:ascii="Calibri" w:cs="Calibri" w:eastAsia="Calibri" w:hAnsi="Calibri"/>
          <w:b/>
          <w:bCs/>
          <w:sz w:val="21"/>
          <w:szCs w:val="21"/>
        </w:rPr>
        <w:t xml:space="preserve">Cue fading shortens the cued portion; it does not remove one channel at a time. </w:t>
      </w:r>
      <w:r>
        <w:rPr>
          <w:rFonts w:ascii="Calibri" w:cs="Calibri" w:eastAsia="Calibri" w:hAnsi="Calibri"/>
          <w:sz w:val="21"/>
          <w:szCs w:val="21"/>
        </w:rPr>
        <w:t xml:space="preserve">The ladder runs from 16 cued beats to 3 over nine rungs; the cue itself (click + picture) is identical at every rung. Removing only sound or only picture would change the cue rather than fade it — visual synchronisation is roughly twice as variable as auditory.</w:t>
      </w:r>
    </w:p>
    <w:p>
      <w:pPr>
        <w:pStyle w:val="ListParagraph"/>
        <w:numPr>
          <w:ilvl w:val="0"/>
          <w:numId w:val="2"/>
        </w:numPr>
        <w:spacing w:after="80" w:line="276"/>
      </w:pPr>
      <w:r>
        <w:rPr>
          <w:rFonts w:ascii="Calibri" w:cs="Calibri" w:eastAsia="Calibri" w:hAnsi="Calibri"/>
          <w:b/>
          <w:bCs/>
          <w:sz w:val="21"/>
          <w:szCs w:val="21"/>
        </w:rPr>
        <w:t xml:space="preserve">Mirror mode and pattern length are difficulty tiers in both arms. </w:t>
      </w:r>
      <w:r>
        <w:rPr>
          <w:rFonts w:ascii="Calibri" w:cs="Calibri" w:eastAsia="Calibri" w:hAnsi="Calibri"/>
          <w:sz w:val="21"/>
          <w:szCs w:val="21"/>
        </w:rPr>
        <w:t xml:space="preserve">The only difference between arms is the cue schedule in R4 during training, so an arm difference can be attributed to fading.</w:t>
      </w:r>
    </w:p>
    <w:p>
      <w:pPr>
        <w:pStyle w:val="ListParagraph"/>
        <w:numPr>
          <w:ilvl w:val="0"/>
          <w:numId w:val="2"/>
        </w:numPr>
        <w:spacing w:after="80" w:line="276"/>
      </w:pPr>
      <w:r>
        <w:rPr>
          <w:rFonts w:ascii="Calibri" w:cs="Calibri" w:eastAsia="Calibri" w:hAnsi="Calibri"/>
          <w:b/>
          <w:bCs/>
          <w:sz w:val="21"/>
          <w:szCs w:val="21"/>
        </w:rPr>
        <w:t xml:space="preserve">No count-in. </w:t>
      </w:r>
      <w:r>
        <w:rPr>
          <w:rFonts w:ascii="Calibri" w:cs="Calibri" w:eastAsia="Calibri" w:hAnsi="Calibri"/>
          <w:sz w:val="21"/>
          <w:szCs w:val="21"/>
        </w:rPr>
        <w:t xml:space="preserve">The lead-in is two beats of visible approach. The first tap remains unpredictable; the first intervals are excluded in analysis.</w:t>
      </w:r>
    </w:p>
    <w:p>
      <w:pPr>
        <w:pStyle w:val="ListParagraph"/>
        <w:numPr>
          <w:ilvl w:val="0"/>
          <w:numId w:val="2"/>
        </w:numPr>
        <w:spacing w:after="80" w:line="276"/>
      </w:pPr>
      <w:r>
        <w:rPr>
          <w:rFonts w:ascii="Calibri" w:cs="Calibri" w:eastAsia="Calibri" w:hAnsi="Calibri"/>
          <w:b/>
          <w:bCs/>
          <w:sz w:val="21"/>
          <w:szCs w:val="21"/>
        </w:rPr>
        <w:t xml:space="preserve">Click is 1 kHz, 30 ms. </w:t>
      </w:r>
      <w:r>
        <w:rPr>
          <w:rFonts w:ascii="Calibri" w:cs="Calibri" w:eastAsia="Calibri" w:hAnsi="Calibri"/>
          <w:sz w:val="21"/>
          <w:szCs w:val="21"/>
        </w:rPr>
        <w:t xml:space="preserve">The convention in the synchronisation literature, and below the region where age-related hearing loss begins.</w:t>
      </w:r>
    </w:p>
    <w:p>
      <w:pPr>
        <w:pStyle w:val="Heading1"/>
        <w:keepNext/>
        <w:spacing w:after="120" w:before="280"/>
      </w:pPr>
      <w:r>
        <w:t xml:space="preserve">6. Questions needing your decision</w:t>
      </w:r>
    </w:p>
    <w:p>
      <w:pPr>
        <w:pStyle w:val="ListParagraph"/>
        <w:numPr>
          <w:ilvl w:val="0"/>
          <w:numId w:val="3"/>
        </w:numPr>
        <w:spacing w:after="80" w:line="276"/>
      </w:pPr>
      <w:r>
        <w:rPr>
          <w:rFonts w:ascii="Calibri" w:cs="Calibri" w:eastAsia="Calibri" w:hAnsi="Calibri"/>
          <w:b/>
          <w:bCs/>
          <w:sz w:val="21"/>
          <w:szCs w:val="21"/>
        </w:rPr>
        <w:t xml:space="preserve">Training tempo. </w:t>
      </w:r>
      <w:r>
        <w:rPr>
          <w:rFonts w:ascii="Calibri" w:cs="Calibri" w:eastAsia="Calibri" w:hAnsi="Calibri"/>
          <w:sz w:val="21"/>
          <w:szCs w:val="21"/>
        </w:rPr>
        <w:t xml:space="preserve">The proposal fixes one tempo per person. BAASTA assesses at several tempi and Rhythm Workers trains at tempi spaced around the natural one, with difficulty defined as distance from it. Should training sets vary in tempo? Measurement sessions would stay at the locked tempo either way.</w:t>
      </w:r>
    </w:p>
    <w:p>
      <w:pPr>
        <w:pStyle w:val="ListParagraph"/>
        <w:numPr>
          <w:ilvl w:val="0"/>
          <w:numId w:val="3"/>
        </w:numPr>
        <w:spacing w:after="80" w:line="276"/>
      </w:pPr>
      <w:r>
        <w:rPr>
          <w:rFonts w:ascii="Calibri" w:cs="Calibri" w:eastAsia="Calibri" w:hAnsi="Calibri"/>
          <w:b/>
          <w:bCs/>
          <w:sz w:val="21"/>
          <w:szCs w:val="21"/>
        </w:rPr>
        <w:t xml:space="preserve">Continuation window. </w:t>
      </w:r>
      <w:r>
        <w:rPr>
          <w:rFonts w:ascii="Calibri" w:cs="Calibri" w:eastAsia="Calibri" w:hAnsi="Calibri"/>
          <w:sz w:val="21"/>
          <w:szCs w:val="21"/>
        </w:rPr>
        <w:t xml:space="preserve">At the slowest permitted tempo (900 ms) a 25 s window yields exactly 25 intervals — the minimum for the Wing–Kristofferson split, with no margin. Options: lengthen the window, lower the tempo ceiling, or accept W–K missing for the slowest participants.</w:t>
      </w:r>
    </w:p>
    <w:p>
      <w:pPr>
        <w:pStyle w:val="ListParagraph"/>
        <w:numPr>
          <w:ilvl w:val="0"/>
          <w:numId w:val="3"/>
        </w:numPr>
        <w:spacing w:after="80" w:line="276"/>
      </w:pPr>
      <w:r>
        <w:rPr>
          <w:rFonts w:ascii="Calibri" w:cs="Calibri" w:eastAsia="Calibri" w:hAnsi="Calibri"/>
          <w:b/>
          <w:bCs/>
          <w:sz w:val="21"/>
          <w:szCs w:val="21"/>
        </w:rPr>
        <w:t xml:space="preserve">Study device. </w:t>
      </w:r>
      <w:r>
        <w:rPr>
          <w:rFonts w:ascii="Calibri" w:cs="Calibri" w:eastAsia="Calibri" w:hAnsi="Calibri"/>
          <w:sz w:val="21"/>
          <w:szCs w:val="21"/>
        </w:rPr>
        <w:t xml:space="preserve">The A7 Lite has been characterised and passes. Is it the study device? One model must be used for the whole trial and qualified before a fleet is bought.</w:t>
      </w:r>
    </w:p>
    <w:p>
      <w:pPr>
        <w:pStyle w:val="ListParagraph"/>
        <w:numPr>
          <w:ilvl w:val="0"/>
          <w:numId w:val="3"/>
        </w:numPr>
        <w:spacing w:after="80" w:line="276"/>
      </w:pPr>
      <w:r>
        <w:rPr>
          <w:rFonts w:ascii="Calibri" w:cs="Calibri" w:eastAsia="Calibri" w:hAnsi="Calibri"/>
          <w:b/>
          <w:bCs/>
          <w:sz w:val="21"/>
          <w:szCs w:val="21"/>
        </w:rPr>
        <w:t xml:space="preserve">An additional transfer measure. </w:t>
      </w:r>
      <w:r>
        <w:rPr>
          <w:rFonts w:ascii="Calibri" w:cs="Calibri" w:eastAsia="Calibri" w:hAnsi="Calibri"/>
          <w:sz w:val="21"/>
          <w:szCs w:val="21"/>
        </w:rPr>
        <w:t xml:space="preserve">BAASTA’s anisochrony-detection listening test (perceptual timing, no motor component) would let a training effect be located in perception or in production. Worth adding?</w:t>
      </w:r>
    </w:p>
    <w:p>
      <w:pPr>
        <w:pStyle w:val="ListParagraph"/>
        <w:numPr>
          <w:ilvl w:val="0"/>
          <w:numId w:val="3"/>
        </w:numPr>
        <w:spacing w:after="80" w:line="276"/>
      </w:pPr>
      <w:r>
        <w:rPr>
          <w:rFonts w:ascii="Calibri" w:cs="Calibri" w:eastAsia="Calibri" w:hAnsi="Calibri"/>
          <w:b/>
          <w:bCs/>
          <w:sz w:val="21"/>
          <w:szCs w:val="21"/>
        </w:rPr>
        <w:t xml:space="preserve">iOS. </w:t>
      </w:r>
      <w:r>
        <w:rPr>
          <w:rFonts w:ascii="Calibri" w:cs="Calibri" w:eastAsia="Calibri" w:hAnsi="Calibri"/>
          <w:sz w:val="21"/>
          <w:szCs w:val="21"/>
        </w:rPr>
        <w:t xml:space="preserve">The proposal’s December iOS build needs a Mac. If none is available the study is Android-only; is that acceptable?</w:t>
      </w:r>
    </w:p>
    <w:p>
      <w:pPr>
        <w:pStyle w:val="Heading1"/>
        <w:keepNext/>
        <w:spacing w:after="120" w:before="280"/>
      </w:pPr>
      <w:r>
        <w:t xml:space="preserve">7. Next steps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819"/>
        <w:gridCol w:w="2699"/>
      </w:tblGrid>
      <w:tr>
        <w:trPr>
          <w:tblHeader/>
        </w:trPr>
        <w:tc>
          <w:tcPr>
            <w:tcW w:type="dxa" w:w="2120"/>
            <w:tcBorders>
              <w:top w:val="single" w:color="BFBFBF" w:sz="4"/>
              <w:left w:val="single" w:color="BFBFBF" w:sz="4"/>
              <w:bottom w:val="single" w:color="BFBFBF" w:sz="4"/>
              <w:right w:val="single" w:color="BFBFBF" w:sz="4"/>
            </w:tcBorders>
            <w:shd w:fill="EFEFEF" w:color="auto" w:val="clear"/>
            <w:tcMar>
              <w:top w:type="dxa" w:w="60"/>
              <w:left w:type="dxa" w:w="90"/>
              <w:bottom w:type="dxa" w:w="60"/>
              <w:right w:type="dxa" w:w="90"/>
            </w:tcMar>
          </w:tcPr>
          <w:p>
            <w:pPr>
              <w:spacing w:after="0" w:line="259"/>
            </w:pPr>
            <w:r>
              <w:rPr>
                <w:rFonts w:ascii="Calibri" w:cs="Calibri" w:eastAsia="Calibri" w:hAnsi="Calibri"/>
                <w:b/>
                <w:bCs/>
                <w:sz w:val="21"/>
                <w:szCs w:val="21"/>
              </w:rPr>
              <w:t xml:space="preserve">Step</w:t>
            </w:r>
          </w:p>
        </w:tc>
        <w:tc>
          <w:tcPr>
            <w:tcW w:type="dxa" w:w="4819"/>
            <w:tcBorders>
              <w:top w:val="single" w:color="BFBFBF" w:sz="4"/>
              <w:left w:val="single" w:color="BFBFBF" w:sz="4"/>
              <w:bottom w:val="single" w:color="BFBFBF" w:sz="4"/>
              <w:right w:val="single" w:color="BFBFBF" w:sz="4"/>
            </w:tcBorders>
            <w:shd w:fill="EFEFEF" w:color="auto" w:val="clear"/>
            <w:tcMar>
              <w:top w:type="dxa" w:w="60"/>
              <w:left w:type="dxa" w:w="90"/>
              <w:bottom w:type="dxa" w:w="60"/>
              <w:right w:type="dxa" w:w="90"/>
            </w:tcMar>
          </w:tcPr>
          <w:p>
            <w:pPr>
              <w:spacing w:after="0" w:line="259"/>
            </w:pPr>
            <w:r>
              <w:rPr>
                <w:rFonts w:ascii="Calibri" w:cs="Calibri" w:eastAsia="Calibri" w:hAnsi="Calibri"/>
                <w:b/>
                <w:bCs/>
                <w:sz w:val="21"/>
                <w:szCs w:val="21"/>
              </w:rPr>
              <w:t xml:space="preserve">What</w:t>
            </w:r>
          </w:p>
        </w:tc>
        <w:tc>
          <w:tcPr>
            <w:tcW w:type="dxa" w:w="2699"/>
            <w:tcBorders>
              <w:top w:val="single" w:color="BFBFBF" w:sz="4"/>
              <w:left w:val="single" w:color="BFBFBF" w:sz="4"/>
              <w:bottom w:val="single" w:color="BFBFBF" w:sz="4"/>
              <w:right w:val="single" w:color="BFBFBF" w:sz="4"/>
            </w:tcBorders>
            <w:shd w:fill="EFEFEF" w:color="auto" w:val="clear"/>
            <w:tcMar>
              <w:top w:type="dxa" w:w="60"/>
              <w:left w:type="dxa" w:w="90"/>
              <w:bottom w:type="dxa" w:w="60"/>
              <w:right w:type="dxa" w:w="90"/>
            </w:tcMar>
          </w:tcPr>
          <w:p>
            <w:pPr>
              <w:spacing w:after="0" w:line="259"/>
            </w:pPr>
            <w:r>
              <w:rPr>
                <w:rFonts w:ascii="Calibri" w:cs="Calibri" w:eastAsia="Calibri" w:hAnsi="Calibri"/>
                <w:b/>
                <w:bCs/>
                <w:sz w:val="21"/>
                <w:szCs w:val="21"/>
              </w:rPr>
              <w:t xml:space="preserve">When</w:t>
            </w:r>
          </w:p>
        </w:tc>
      </w:tr>
      <w:tr>
        <w:trPr>
          <w:cantSplit/>
        </w:trPr>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Persistence and export</w:t>
            </w:r>
          </w:p>
        </w:tc>
        <w:tc>
          <w:tcPr>
            <w:tcW w:type="dxa" w:w="4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Every trial saved on-device (SQLite, one transaction per trial); CSV export that opens in R; a screen listing saved runs</w:t>
            </w:r>
          </w:p>
        </w:tc>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This week</w:t>
            </w:r>
          </w:p>
        </w:tc>
      </w:tr>
      <w:tr>
        <w:trPr>
          <w:cantSplit/>
        </w:trPr>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Session runner</w:t>
            </w:r>
          </w:p>
        </w:tc>
        <w:tc>
          <w:tcPr>
            <w:tcW w:type="dxa" w:w="4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Blocks strung into a session; measurement vs training sessions; an interrupted trial is invalidated and restarted, never mistaken for complete</w:t>
            </w:r>
          </w:p>
        </w:tc>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Late September</w:t>
            </w:r>
          </w:p>
        </w:tc>
      </w:tr>
      <w:tr>
        <w:trPr>
          <w:cantSplit/>
        </w:trPr>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Native touch timing</w:t>
            </w:r>
          </w:p>
        </w:tc>
        <w:tc>
          <w:tcPr>
            <w:tcW w:type="dxa" w:w="4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Kernel timestamps read directly, so the touch scan rate and delivery path can be reported from inside the app</w:t>
            </w:r>
          </w:p>
        </w:tc>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Late September</w:t>
            </w:r>
          </w:p>
        </w:tc>
      </w:tr>
      <w:tr>
        <w:trPr>
          <w:cantSplit/>
        </w:trPr>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R2, R3, cue-fading ladder</w:t>
            </w:r>
          </w:p>
        </w:tc>
        <w:tc>
          <w:tcPr>
            <w:tcW w:type="dxa" w:w="4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The rest of the tapping blocks and the adaptive engine</w:t>
            </w:r>
          </w:p>
        </w:tc>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October</w:t>
            </w:r>
          </w:p>
        </w:tc>
      </w:tr>
      <w:tr>
        <w:trPr>
          <w:cantSplit/>
        </w:trPr>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Latency calibration</w:t>
            </w:r>
          </w:p>
        </w:tc>
        <w:tc>
          <w:tcPr>
            <w:tcW w:type="dxa" w:w="4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Loopback test of speaker latency per tablet</w:t>
            </w:r>
          </w:p>
        </w:tc>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October</w:t>
            </w:r>
          </w:p>
        </w:tc>
      </w:tr>
      <w:tr>
        <w:trPr>
          <w:cantSplit/>
        </w:trPr>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V1 vocal block</w:t>
            </w:r>
          </w:p>
        </w:tc>
        <w:tc>
          <w:tcPr>
            <w:tcW w:type="dxa" w:w="4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In-app recording, click-leakage alignment, offline onset detection validated against hand labels</w:t>
            </w:r>
          </w:p>
        </w:tc>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November</w:t>
            </w:r>
          </w:p>
        </w:tc>
      </w:tr>
      <w:tr>
        <w:trPr>
          <w:cantSplit/>
        </w:trPr>
        <w:tc>
          <w:tcPr>
            <w:tcW w:type="dxa" w:w="21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Student pilot; senior pilot</w:t>
            </w:r>
          </w:p>
        </w:tc>
        <w:tc>
          <w:tcPr>
            <w:tcW w:type="dxa" w:w="481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Reliability check of the timing scores; protocol frozen</w:t>
            </w:r>
          </w:p>
        </w:tc>
        <w:tc>
          <w:tcPr>
            <w:tcW w:type="dxa" w:w="2699"/>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line="259"/>
            </w:pPr>
            <w:r>
              <w:rPr>
                <w:rFonts w:ascii="Calibri" w:cs="Calibri" w:eastAsia="Calibri" w:hAnsi="Calibri"/>
                <w:sz w:val="21"/>
                <w:szCs w:val="21"/>
              </w:rPr>
              <w:t xml:space="preserve">Nov – Dec</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Kopitiam Rhythm — progress checkpoint, 21 September 2026</dc:title>
  <dc:creator>Benjamin Yeoh</dc:creator>
  <cp:lastModifiedBy>Un-named</cp:lastModifiedBy>
  <cp:revision>1</cp:revision>
  <dcterms:created xsi:type="dcterms:W3CDTF">2026-09-21T08:25:45.836Z</dcterms:created>
  <dcterms:modified xsi:type="dcterms:W3CDTF">2026-09-21T08:25:45.846Z</dcterms:modified>
</cp:coreProperties>
</file>

<file path=docProps/custom.xml><?xml version="1.0" encoding="utf-8"?>
<Properties xmlns="http://schemas.openxmlformats.org/officeDocument/2006/custom-properties" xmlns:vt="http://schemas.openxmlformats.org/officeDocument/2006/docPropsVTypes"/>
</file>