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В.Л. Захарич</w:t>
      </w:r>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Е. Волотовская</w:t>
      </w:r>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Лобзанюк</w:t>
      </w:r>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 xml:space="preserve">контроль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«Новопольский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Т.Н. Крумкач</w:t>
      </w:r>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r w:rsidRPr="009E530E">
              <w:rPr>
                <w:sz w:val="24"/>
                <w:szCs w:val="28"/>
              </w:rPr>
              <w:t>Захарич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r w:rsidRPr="009E530E">
              <w:rPr>
                <w:sz w:val="24"/>
                <w:szCs w:val="28"/>
              </w:rPr>
              <w:t>Захарич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r w:rsidRPr="00184621">
              <w:rPr>
                <w:sz w:val="24"/>
                <w:szCs w:val="28"/>
              </w:rPr>
              <w:t>Лобзанюк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r w:rsidRPr="0054797B">
              <w:rPr>
                <w:sz w:val="24"/>
                <w:szCs w:val="28"/>
              </w:rPr>
              <w:t>Волотовская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В.Л. Захарич</w:t>
      </w:r>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Т.Е. Волотовская</w:t>
      </w:r>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Т.Л. Лобзанюк</w:t>
      </w:r>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F2DBE35" w14:textId="17260FC7" w:rsidR="00AD1269"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3623596" w:history="1">
            <w:r w:rsidR="00AD1269" w:rsidRPr="00EE2A7C">
              <w:rPr>
                <w:rStyle w:val="a7"/>
              </w:rPr>
              <w:t>ВВЕДЕНИЕ</w:t>
            </w:r>
            <w:r w:rsidR="00AD1269">
              <w:rPr>
                <w:webHidden/>
              </w:rPr>
              <w:tab/>
            </w:r>
            <w:r w:rsidR="00AD1269">
              <w:rPr>
                <w:webHidden/>
              </w:rPr>
              <w:fldChar w:fldCharType="begin"/>
            </w:r>
            <w:r w:rsidR="00AD1269">
              <w:rPr>
                <w:webHidden/>
              </w:rPr>
              <w:instrText xml:space="preserve"> PAGEREF _Toc63623596 \h </w:instrText>
            </w:r>
            <w:r w:rsidR="00AD1269">
              <w:rPr>
                <w:webHidden/>
              </w:rPr>
            </w:r>
            <w:r w:rsidR="00AD1269">
              <w:rPr>
                <w:webHidden/>
              </w:rPr>
              <w:fldChar w:fldCharType="separate"/>
            </w:r>
            <w:r w:rsidR="00AD1269">
              <w:rPr>
                <w:webHidden/>
              </w:rPr>
              <w:t>7</w:t>
            </w:r>
            <w:r w:rsidR="00AD1269">
              <w:rPr>
                <w:webHidden/>
              </w:rPr>
              <w:fldChar w:fldCharType="end"/>
            </w:r>
          </w:hyperlink>
        </w:p>
        <w:p w14:paraId="68E6B6A4" w14:textId="70DCA34A" w:rsidR="00AD1269" w:rsidRDefault="00AD1269">
          <w:pPr>
            <w:pStyle w:val="11"/>
            <w:rPr>
              <w:rFonts w:asciiTheme="minorHAnsi" w:eastAsiaTheme="minorEastAsia" w:hAnsiTheme="minorHAnsi" w:cstheme="minorBidi"/>
              <w:b w:val="0"/>
              <w:sz w:val="22"/>
              <w:lang w:eastAsia="ru-RU"/>
            </w:rPr>
          </w:pPr>
          <w:hyperlink w:anchor="_Toc63623597" w:history="1">
            <w:r w:rsidRPr="00EE2A7C">
              <w:rPr>
                <w:rStyle w:val="a7"/>
              </w:rPr>
              <w:t>ОСНОВНАЯ ЧАСТЬ</w:t>
            </w:r>
            <w:r>
              <w:rPr>
                <w:webHidden/>
              </w:rPr>
              <w:tab/>
            </w:r>
            <w:r>
              <w:rPr>
                <w:webHidden/>
              </w:rPr>
              <w:fldChar w:fldCharType="begin"/>
            </w:r>
            <w:r>
              <w:rPr>
                <w:webHidden/>
              </w:rPr>
              <w:instrText xml:space="preserve"> PAGEREF _Toc63623597 \h </w:instrText>
            </w:r>
            <w:r>
              <w:rPr>
                <w:webHidden/>
              </w:rPr>
            </w:r>
            <w:r>
              <w:rPr>
                <w:webHidden/>
              </w:rPr>
              <w:fldChar w:fldCharType="separate"/>
            </w:r>
            <w:r>
              <w:rPr>
                <w:webHidden/>
              </w:rPr>
              <w:t>9</w:t>
            </w:r>
            <w:r>
              <w:rPr>
                <w:webHidden/>
              </w:rPr>
              <w:fldChar w:fldCharType="end"/>
            </w:r>
          </w:hyperlink>
        </w:p>
        <w:p w14:paraId="75F9A50A" w14:textId="779164FC" w:rsidR="00AD1269" w:rsidRDefault="00AD1269">
          <w:pPr>
            <w:pStyle w:val="11"/>
            <w:rPr>
              <w:rFonts w:asciiTheme="minorHAnsi" w:eastAsiaTheme="minorEastAsia" w:hAnsiTheme="minorHAnsi" w:cstheme="minorBidi"/>
              <w:b w:val="0"/>
              <w:sz w:val="22"/>
              <w:lang w:eastAsia="ru-RU"/>
            </w:rPr>
          </w:pPr>
          <w:hyperlink w:anchor="_Toc63623598" w:history="1">
            <w:r w:rsidRPr="00EE2A7C">
              <w:rPr>
                <w:rStyle w:val="a7"/>
              </w:rPr>
              <w:t>1.  Назначение и область применения</w:t>
            </w:r>
            <w:r>
              <w:rPr>
                <w:webHidden/>
              </w:rPr>
              <w:tab/>
            </w:r>
            <w:r>
              <w:rPr>
                <w:webHidden/>
              </w:rPr>
              <w:fldChar w:fldCharType="begin"/>
            </w:r>
            <w:r>
              <w:rPr>
                <w:webHidden/>
              </w:rPr>
              <w:instrText xml:space="preserve"> PAGEREF _Toc63623598 \h </w:instrText>
            </w:r>
            <w:r>
              <w:rPr>
                <w:webHidden/>
              </w:rPr>
            </w:r>
            <w:r>
              <w:rPr>
                <w:webHidden/>
              </w:rPr>
              <w:fldChar w:fldCharType="separate"/>
            </w:r>
            <w:r>
              <w:rPr>
                <w:webHidden/>
              </w:rPr>
              <w:t>9</w:t>
            </w:r>
            <w:r>
              <w:rPr>
                <w:webHidden/>
              </w:rPr>
              <w:fldChar w:fldCharType="end"/>
            </w:r>
          </w:hyperlink>
        </w:p>
        <w:p w14:paraId="053D6D51" w14:textId="148F1E03" w:rsidR="00AD1269" w:rsidRDefault="00AD1269">
          <w:pPr>
            <w:pStyle w:val="11"/>
            <w:rPr>
              <w:rFonts w:asciiTheme="minorHAnsi" w:eastAsiaTheme="minorEastAsia" w:hAnsiTheme="minorHAnsi" w:cstheme="minorBidi"/>
              <w:b w:val="0"/>
              <w:sz w:val="22"/>
              <w:lang w:eastAsia="ru-RU"/>
            </w:rPr>
          </w:pPr>
          <w:hyperlink w:anchor="_Toc63623599" w:history="1">
            <w:r w:rsidRPr="00EE2A7C">
              <w:rPr>
                <w:rStyle w:val="a7"/>
              </w:rPr>
              <w:t>1.1 Описание предметной области</w:t>
            </w:r>
            <w:r>
              <w:rPr>
                <w:webHidden/>
              </w:rPr>
              <w:tab/>
            </w:r>
            <w:r>
              <w:rPr>
                <w:webHidden/>
              </w:rPr>
              <w:fldChar w:fldCharType="begin"/>
            </w:r>
            <w:r>
              <w:rPr>
                <w:webHidden/>
              </w:rPr>
              <w:instrText xml:space="preserve"> PAGEREF _Toc63623599 \h </w:instrText>
            </w:r>
            <w:r>
              <w:rPr>
                <w:webHidden/>
              </w:rPr>
            </w:r>
            <w:r>
              <w:rPr>
                <w:webHidden/>
              </w:rPr>
              <w:fldChar w:fldCharType="separate"/>
            </w:r>
            <w:r>
              <w:rPr>
                <w:webHidden/>
              </w:rPr>
              <w:t>9</w:t>
            </w:r>
            <w:r>
              <w:rPr>
                <w:webHidden/>
              </w:rPr>
              <w:fldChar w:fldCharType="end"/>
            </w:r>
          </w:hyperlink>
        </w:p>
        <w:p w14:paraId="2097797F" w14:textId="12D872AB" w:rsidR="00AD1269" w:rsidRDefault="00AD1269">
          <w:pPr>
            <w:pStyle w:val="11"/>
            <w:rPr>
              <w:rFonts w:asciiTheme="minorHAnsi" w:eastAsiaTheme="minorEastAsia" w:hAnsiTheme="minorHAnsi" w:cstheme="minorBidi"/>
              <w:b w:val="0"/>
              <w:sz w:val="22"/>
              <w:lang w:eastAsia="ru-RU"/>
            </w:rPr>
          </w:pPr>
          <w:hyperlink w:anchor="_Toc63623600" w:history="1">
            <w:r w:rsidRPr="00EE2A7C">
              <w:rPr>
                <w:rStyle w:val="a7"/>
              </w:rPr>
              <w:t>1.2 Назначени</w:t>
            </w:r>
            <w:r w:rsidRPr="00EE2A7C">
              <w:rPr>
                <w:rStyle w:val="a7"/>
              </w:rPr>
              <w:t>е</w:t>
            </w:r>
            <w:r w:rsidRPr="00EE2A7C">
              <w:rPr>
                <w:rStyle w:val="a7"/>
              </w:rPr>
              <w:t xml:space="preserve"> программного средства</w:t>
            </w:r>
            <w:r>
              <w:rPr>
                <w:webHidden/>
              </w:rPr>
              <w:tab/>
            </w:r>
            <w:r>
              <w:rPr>
                <w:webHidden/>
              </w:rPr>
              <w:fldChar w:fldCharType="begin"/>
            </w:r>
            <w:r>
              <w:rPr>
                <w:webHidden/>
              </w:rPr>
              <w:instrText xml:space="preserve"> PAGEREF _Toc63623600 \h </w:instrText>
            </w:r>
            <w:r>
              <w:rPr>
                <w:webHidden/>
              </w:rPr>
            </w:r>
            <w:r>
              <w:rPr>
                <w:webHidden/>
              </w:rPr>
              <w:fldChar w:fldCharType="separate"/>
            </w:r>
            <w:r>
              <w:rPr>
                <w:webHidden/>
              </w:rPr>
              <w:t>21</w:t>
            </w:r>
            <w:r>
              <w:rPr>
                <w:webHidden/>
              </w:rPr>
              <w:fldChar w:fldCharType="end"/>
            </w:r>
          </w:hyperlink>
        </w:p>
        <w:p w14:paraId="50DCF2D0" w14:textId="3544102F"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623596"/>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623597"/>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623598"/>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623599"/>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lang w:val="en-US"/>
        </w:rPr>
        <w:t>Eniac</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r w:rsidRPr="00B74193">
        <w:rPr>
          <w:rFonts w:cs="Times New Roman"/>
          <w:color w:val="0D0D0D" w:themeColor="text1" w:themeTint="F2"/>
          <w:szCs w:val="28"/>
        </w:rPr>
        <w:t>Шталь,</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Дроппер</w:t>
            </w:r>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lang w:val="en-US"/>
              </w:rPr>
              <w:t>MtE</w:t>
            </w:r>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r>
              <w:rPr>
                <w:rFonts w:cs="Times New Roman"/>
                <w:color w:val="0D0D0D" w:themeColor="text1" w:themeTint="F2"/>
                <w:szCs w:val="28"/>
              </w:rPr>
              <w:t>руткит и буткит</w:t>
            </w:r>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использующие особенности файлов офисных программ, а так же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r>
              <w:rPr>
                <w:rFonts w:cs="Times New Roman"/>
                <w:color w:val="0D0D0D" w:themeColor="text1" w:themeTint="F2"/>
                <w:szCs w:val="24"/>
                <w:lang w:val="en-US"/>
              </w:rPr>
              <w:t>Wscript</w:t>
            </w:r>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ACAD, AutoLisp,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Макрокомандные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Файлово-загрузочные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lang w:val="en-US"/>
        </w:rPr>
        <w:t>BadUSB</w:t>
      </w:r>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Fly-C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для поиска шифрующихся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Самым ресурсо-затратным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r w:rsidRPr="00B74193">
        <w:rPr>
          <w:rFonts w:cs="Times New Roman"/>
          <w:color w:val="0D0D0D" w:themeColor="text1" w:themeTint="F2"/>
          <w:szCs w:val="24"/>
        </w:rPr>
        <w:t>контр-алгоритм</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623600"/>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защита от всех видов кейлоггеров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r>
        <w:lastRenderedPageBreak/>
        <w:t>1.3</w:t>
      </w:r>
      <w:r w:rsidR="00E55E03" w:rsidRPr="00717D6B">
        <w:t xml:space="preserve"> Анализ существующих разработок</w:t>
      </w:r>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210 мб</w:t>
            </w:r>
          </w:p>
        </w:tc>
        <w:tc>
          <w:tcPr>
            <w:tcW w:w="1276" w:type="dxa"/>
          </w:tcPr>
          <w:p w14:paraId="5EC3E388" w14:textId="77777777" w:rsidR="00015231" w:rsidRDefault="00886D81" w:rsidP="00015231">
            <w:pPr>
              <w:jc w:val="center"/>
            </w:pPr>
            <w:r>
              <w:t>138 мб</w:t>
            </w:r>
          </w:p>
        </w:tc>
        <w:tc>
          <w:tcPr>
            <w:tcW w:w="1559" w:type="dxa"/>
          </w:tcPr>
          <w:p w14:paraId="1BFCB159" w14:textId="77777777" w:rsidR="00015231" w:rsidRDefault="00886D81" w:rsidP="00015231">
            <w:pPr>
              <w:jc w:val="center"/>
            </w:pPr>
            <w:r>
              <w:t>157 мб</w:t>
            </w:r>
          </w:p>
        </w:tc>
        <w:tc>
          <w:tcPr>
            <w:tcW w:w="1276" w:type="dxa"/>
          </w:tcPr>
          <w:p w14:paraId="482C6E1C" w14:textId="77777777" w:rsidR="00015231" w:rsidRDefault="00886D81" w:rsidP="00015231">
            <w:pPr>
              <w:jc w:val="center"/>
            </w:pPr>
            <w:r>
              <w:t>120 мб</w:t>
            </w:r>
          </w:p>
        </w:tc>
        <w:tc>
          <w:tcPr>
            <w:tcW w:w="1843" w:type="dxa"/>
          </w:tcPr>
          <w:p w14:paraId="6B890CA6" w14:textId="77777777" w:rsidR="00015231" w:rsidRDefault="00886D81" w:rsidP="00015231">
            <w:pPr>
              <w:jc w:val="center"/>
            </w:pPr>
            <w:r>
              <w:t>107 мб</w:t>
            </w:r>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r>
              <w:t>Фаервол</w:t>
            </w:r>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r>
              <w:rPr>
                <w:lang w:val="en-US"/>
              </w:rPr>
              <w:t>Api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r>
              <w:t>oduleManager</w:t>
            </w:r>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r>
              <w:t>canQueue</w:t>
            </w:r>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r>
              <w:t>pdater</w:t>
            </w:r>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r>
              <w:t>onfigurat</w:t>
            </w:r>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r>
              <w:rPr>
                <w:lang w:val="en-US"/>
              </w:rPr>
              <w:t>ModuleName</w:t>
            </w:r>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r>
              <w:rPr>
                <w:lang w:val="en-US"/>
              </w:rPr>
              <w:t>ModuleAssembly</w:t>
            </w:r>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r>
              <w:rPr>
                <w:lang w:val="en-US"/>
              </w:rPr>
              <w:t>IsRunning</w:t>
            </w:r>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r>
              <w:rPr>
                <w:lang w:val="en-US"/>
              </w:rPr>
              <w:t>ScannerResponseHandler</w:t>
            </w:r>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r>
              <w:rPr>
                <w:lang w:val="en-US"/>
              </w:rPr>
              <w:t>ScanTasks</w:t>
            </w:r>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r>
              <w:rPr>
                <w:lang w:val="en-US"/>
              </w:rPr>
              <w:t>FoundVirusesManager</w:t>
            </w:r>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r w:rsidR="002C1958">
        <w:rPr>
          <w:lang w:val="en-US"/>
        </w:rPr>
        <w:t>FileSystemWatcher</w:t>
      </w:r>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r>
        <w:rPr>
          <w:lang w:val="en-US"/>
        </w:rPr>
        <w:t>FileQueue</w:t>
      </w:r>
      <w:r w:rsidRPr="00C74A01">
        <w:t xml:space="preserve">, </w:t>
      </w:r>
      <w:r>
        <w:t>а</w:t>
      </w:r>
      <w:r w:rsidR="002625FE">
        <w:t xml:space="preserve"> который содержит в себе специально предназначенный для этого класс </w:t>
      </w:r>
      <w:r w:rsidR="002625FE">
        <w:rPr>
          <w:lang w:val="en-US"/>
        </w:rPr>
        <w:t>FilterHandler</w:t>
      </w:r>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r>
        <w:rPr>
          <w:lang w:val="en-US"/>
        </w:rPr>
        <w:t>FileQueue</w:t>
      </w:r>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r>
              <w:rPr>
                <w:lang w:val="en-US"/>
              </w:rPr>
              <w:t>ScannerResponseHandler</w:t>
            </w:r>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r>
              <w:rPr>
                <w:lang w:val="en-US"/>
              </w:rPr>
              <w:t>FilterHandler</w:t>
            </w:r>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r>
              <w:rPr>
                <w:lang w:val="en-US"/>
              </w:rPr>
              <w:t>ScanTasks</w:t>
            </w:r>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r>
              <w:rPr>
                <w:lang w:val="en-US"/>
              </w:rPr>
              <w:t>ScanTask</w:t>
            </w:r>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xml:space="preserve">. В таблице 2.2.3.6 приведено </w:t>
      </w:r>
      <w:r w:rsidR="00C97429">
        <w:t xml:space="preserve">описание полей класса </w:t>
      </w:r>
      <w:r w:rsidR="00C97429">
        <w:rPr>
          <w:lang w:val="en-US"/>
        </w:rPr>
        <w:t>ScanTask</w:t>
      </w:r>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 xml:space="preserve">Таблица 2.2.3.6 – Описание </w:t>
      </w:r>
      <w:r w:rsidR="00FF14E2">
        <w:t xml:space="preserve">полей класса </w:t>
      </w:r>
      <w:r w:rsidR="00FF14E2">
        <w:rPr>
          <w:lang w:val="en-US"/>
        </w:rPr>
        <w:t>ScanTask</w:t>
      </w:r>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r>
              <w:rPr>
                <w:lang w:val="en-US"/>
              </w:rPr>
              <w:t>TaskId</w:t>
            </w:r>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r>
              <w:rPr>
                <w:lang w:val="en-US"/>
              </w:rPr>
              <w:t>ProbesCount</w:t>
            </w:r>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r>
        <w:rPr>
          <w:lang w:val="en-US"/>
        </w:rPr>
        <w:t>ScannerService</w:t>
      </w:r>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r>
        <w:rPr>
          <w:lang w:val="en-US"/>
        </w:rPr>
        <w:t>FileQueue</w:t>
      </w:r>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r w:rsidR="00B3605C">
        <w:rPr>
          <w:lang w:val="en-US"/>
        </w:rPr>
        <w:t>FoundVirusesManager</w:t>
      </w:r>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r>
        <w:rPr>
          <w:lang w:val="en-US"/>
        </w:rPr>
        <w:t>FoundVirusesManager</w:t>
      </w:r>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r>
        <w:rPr>
          <w:lang w:val="en-US"/>
        </w:rPr>
        <w:t>VirusInfo</w:t>
      </w:r>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r>
        <w:rPr>
          <w:lang w:val="en-US"/>
        </w:rPr>
        <w:t>VirusInfo</w:t>
      </w:r>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r>
              <w:rPr>
                <w:lang w:val="en-US"/>
              </w:rPr>
              <w:t>inQuarantine</w:t>
            </w:r>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r>
              <w:rPr>
                <w:lang w:val="en-US"/>
              </w:rPr>
              <w:t>fileInQuarantine</w:t>
            </w:r>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r>
              <w:rPr>
                <w:lang w:val="en-US"/>
              </w:rPr>
              <w:t>VirusId</w:t>
            </w:r>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4CA39EF5">
            <wp:extent cx="2237740" cy="4444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160" cy="449489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A9D0AC9" w14:textId="7C77110B" w:rsidR="005E4EBC" w:rsidRPr="005E4EBC" w:rsidRDefault="005E4EBC" w:rsidP="000D3BD0">
      <w:pPr>
        <w:pStyle w:val="afd"/>
        <w:ind w:firstLine="0"/>
        <w:jc w:val="left"/>
        <w:rPr>
          <w:lang w:val="en-US"/>
        </w:rPr>
      </w:pPr>
      <w:r>
        <w:lastRenderedPageBreak/>
        <w:t xml:space="preserve">ОПИСАТЬ ФУНКЦИИ БИБЛИОТЕКИ </w:t>
      </w:r>
      <w:r>
        <w:rPr>
          <w:lang w:val="en-US"/>
        </w:rPr>
        <w:t>API</w:t>
      </w:r>
      <w:bookmarkStart w:id="9" w:name="_GoBack"/>
      <w:bookmarkEnd w:id="9"/>
    </w:p>
    <w:p w14:paraId="521C53E0" w14:textId="5EA492B5" w:rsidR="002253C2" w:rsidRPr="005E4EBC"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174749F7" w:rsidR="002A2269" w:rsidRDefault="002A2269" w:rsidP="002C1958">
            <w:pPr>
              <w:jc w:val="both"/>
              <w:rPr>
                <w:rStyle w:val="fdwtext"/>
                <w:lang w:val="en-US"/>
              </w:rPr>
            </w:pPr>
            <w:r>
              <w:rPr>
                <w:rStyle w:val="fdwtext"/>
                <w:lang w:val="en-US"/>
              </w:rPr>
              <w:t>Ryzen 5 2200</w:t>
            </w:r>
            <w:r w:rsidR="004C6442">
              <w:rPr>
                <w:rStyle w:val="fdwtext"/>
                <w:lang w:val="en-US"/>
              </w:rPr>
              <w:t xml:space="preserve">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4D9B1B55" w:rsidR="00311FD6" w:rsidRPr="00DD126D" w:rsidRDefault="00311FD6" w:rsidP="00311FD6">
      <w:pPr>
        <w:pStyle w:val="afd"/>
        <w:rPr>
          <w:color w:val="FF0000"/>
        </w:rPr>
      </w:pPr>
      <w:r w:rsidRPr="00DD126D">
        <w:rPr>
          <w:color w:val="FF0000"/>
        </w:rPr>
        <w:t>НУЖНЫ ПРОГРАММНЫЕ ТРЕБОВАНИЯ ЕЩЁ</w:t>
      </w:r>
      <w:r w:rsidR="00072F49" w:rsidRPr="00DD126D">
        <w:rPr>
          <w:color w:val="FF0000"/>
        </w:rPr>
        <w:t>!</w:t>
      </w:r>
    </w:p>
    <w:p w14:paraId="52745D07" w14:textId="5521A484" w:rsidR="00AD1269" w:rsidRDefault="00AD1269" w:rsidP="00311FD6">
      <w:pPr>
        <w:pStyle w:val="afd"/>
      </w:pP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r>
        <w:lastRenderedPageBreak/>
        <w:t>2.2.5 Вызов и загрузка</w:t>
      </w:r>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r>
        <w:lastRenderedPageBreak/>
        <w:t>2.2.6 Входные данные</w:t>
      </w:r>
    </w:p>
    <w:p w14:paraId="504285E2" w14:textId="2AE802F0" w:rsidR="00510251" w:rsidRDefault="00510251" w:rsidP="00510251">
      <w:pPr>
        <w:pStyle w:val="afd"/>
      </w:pPr>
      <w:r>
        <w:t xml:space="preserve">Все входные данные в </w:t>
      </w:r>
      <w:r>
        <w:rPr>
          <w:lang w:val="en-US"/>
        </w:rPr>
        <w:t>DLL</w:t>
      </w:r>
      <w:r w:rsidRPr="00510251">
        <w:t xml:space="preserve"> </w:t>
      </w:r>
      <w:r>
        <w:t>модулях передаются с помощью входящих именованных каналов. В таблице 2.2.</w:t>
      </w:r>
      <w:r w:rsidR="00473F1C">
        <w:t>6</w:t>
      </w:r>
      <w:r>
        <w:t xml:space="preserve">.1 приведено описание входных данных для каждого </w:t>
      </w:r>
      <w:r>
        <w:rPr>
          <w:lang w:val="en-US"/>
        </w:rPr>
        <w:t>DLL</w:t>
      </w:r>
      <w:r w:rsidRPr="00510251">
        <w:t xml:space="preserve"> </w:t>
      </w:r>
      <w:r>
        <w:t>модуля.</w:t>
      </w:r>
    </w:p>
    <w:p w14:paraId="15E0B556" w14:textId="77777777" w:rsidR="00510251" w:rsidRDefault="00510251" w:rsidP="00510251">
      <w:pPr>
        <w:pStyle w:val="afd"/>
      </w:pPr>
    </w:p>
    <w:p w14:paraId="497EEC07" w14:textId="4304967C" w:rsidR="00510251" w:rsidRDefault="00510251" w:rsidP="00473F1C">
      <w:pPr>
        <w:pStyle w:val="afd"/>
        <w:ind w:firstLine="0"/>
      </w:pPr>
      <w:r>
        <w:t>Таблица 2.2.</w:t>
      </w:r>
      <w:r w:rsidR="00473F1C">
        <w:t>6</w:t>
      </w:r>
      <w:r>
        <w:t xml:space="preserve">.1 – </w:t>
      </w:r>
      <w:r w:rsidR="005B3C88">
        <w:t>Описание назначения</w:t>
      </w:r>
      <w:r>
        <w:t xml:space="preserve"> входных </w:t>
      </w:r>
      <w:r w:rsidR="005B3C88">
        <w:t>каналов</w:t>
      </w:r>
      <w:r>
        <w:t xml:space="preserve"> для </w:t>
      </w:r>
      <w:r>
        <w:rPr>
          <w:lang w:val="en-US"/>
        </w:rPr>
        <w:t>DLL</w:t>
      </w:r>
      <w:r w:rsidRPr="00510251">
        <w:t xml:space="preserve"> </w:t>
      </w:r>
      <w:r>
        <w:t>модулей</w:t>
      </w:r>
    </w:p>
    <w:tbl>
      <w:tblPr>
        <w:tblStyle w:val="af1"/>
        <w:tblW w:w="0" w:type="auto"/>
        <w:tblLook w:val="04A0" w:firstRow="1" w:lastRow="0" w:firstColumn="1" w:lastColumn="0" w:noHBand="0" w:noVBand="1"/>
      </w:tblPr>
      <w:tblGrid>
        <w:gridCol w:w="3067"/>
        <w:gridCol w:w="3211"/>
        <w:gridCol w:w="3067"/>
      </w:tblGrid>
      <w:tr w:rsidR="00510251" w14:paraId="345F7EF4" w14:textId="77777777" w:rsidTr="005B3C88">
        <w:tc>
          <w:tcPr>
            <w:tcW w:w="3067" w:type="dxa"/>
          </w:tcPr>
          <w:p w14:paraId="480DE386" w14:textId="3D30E282" w:rsidR="00510251" w:rsidRDefault="00510251" w:rsidP="00510251">
            <w:pPr>
              <w:pStyle w:val="afd"/>
              <w:ind w:firstLine="0"/>
              <w:jc w:val="center"/>
            </w:pPr>
            <w:r>
              <w:t>Модуль</w:t>
            </w:r>
          </w:p>
        </w:tc>
        <w:tc>
          <w:tcPr>
            <w:tcW w:w="3211" w:type="dxa"/>
          </w:tcPr>
          <w:p w14:paraId="57DE6046" w14:textId="62D451D7" w:rsidR="00510251" w:rsidRDefault="00510251" w:rsidP="00510251">
            <w:pPr>
              <w:pStyle w:val="afd"/>
              <w:ind w:firstLine="0"/>
              <w:jc w:val="center"/>
            </w:pPr>
            <w:r>
              <w:t>Именованный канал</w:t>
            </w:r>
          </w:p>
        </w:tc>
        <w:tc>
          <w:tcPr>
            <w:tcW w:w="3067" w:type="dxa"/>
          </w:tcPr>
          <w:p w14:paraId="09203A0B" w14:textId="3447EA65" w:rsidR="00510251" w:rsidRDefault="00510251" w:rsidP="00510251">
            <w:pPr>
              <w:pStyle w:val="afd"/>
              <w:ind w:firstLine="0"/>
              <w:jc w:val="center"/>
            </w:pPr>
            <w:r>
              <w:t>Назначение</w:t>
            </w:r>
          </w:p>
        </w:tc>
      </w:tr>
      <w:tr w:rsidR="00473F1C" w14:paraId="0573776D" w14:textId="77777777" w:rsidTr="005B3C88">
        <w:tc>
          <w:tcPr>
            <w:tcW w:w="3067" w:type="dxa"/>
            <w:vMerge w:val="restart"/>
          </w:tcPr>
          <w:p w14:paraId="4E963101" w14:textId="6A3FBC84" w:rsidR="00473F1C" w:rsidRPr="00510251" w:rsidRDefault="00473F1C" w:rsidP="00510251">
            <w:pPr>
              <w:pStyle w:val="afd"/>
              <w:ind w:firstLine="0"/>
              <w:rPr>
                <w:lang w:val="en-US"/>
              </w:rPr>
            </w:pPr>
            <w:r>
              <w:rPr>
                <w:lang w:val="en-US"/>
              </w:rPr>
              <w:t>Filter</w:t>
            </w:r>
          </w:p>
        </w:tc>
        <w:tc>
          <w:tcPr>
            <w:tcW w:w="3211" w:type="dxa"/>
          </w:tcPr>
          <w:p w14:paraId="72E2CF73" w14:textId="49BC759B" w:rsidR="00473F1C" w:rsidRPr="00510251" w:rsidRDefault="00473F1C" w:rsidP="00510251">
            <w:pPr>
              <w:pStyle w:val="afd"/>
              <w:ind w:firstLine="0"/>
              <w:rPr>
                <w:lang w:val="en-US"/>
              </w:rPr>
            </w:pPr>
            <w:r>
              <w:rPr>
                <w:lang w:val="en-US"/>
              </w:rPr>
              <w:t>Filter.CommandPipe</w:t>
            </w:r>
          </w:p>
        </w:tc>
        <w:tc>
          <w:tcPr>
            <w:tcW w:w="3067" w:type="dxa"/>
          </w:tcPr>
          <w:p w14:paraId="023D51B0" w14:textId="3F829FA3" w:rsidR="00473F1C" w:rsidRDefault="00473F1C" w:rsidP="00510251">
            <w:pPr>
              <w:pStyle w:val="afd"/>
              <w:ind w:firstLine="0"/>
            </w:pPr>
            <w:r>
              <w:t>Канал для команд</w:t>
            </w:r>
          </w:p>
        </w:tc>
      </w:tr>
      <w:tr w:rsidR="00473F1C" w14:paraId="50904CC2" w14:textId="77777777" w:rsidTr="005B3C88">
        <w:tc>
          <w:tcPr>
            <w:tcW w:w="3067" w:type="dxa"/>
            <w:vMerge/>
          </w:tcPr>
          <w:p w14:paraId="6C056DAF" w14:textId="77777777" w:rsidR="00473F1C" w:rsidRDefault="00473F1C" w:rsidP="00510251">
            <w:pPr>
              <w:pStyle w:val="afd"/>
              <w:ind w:firstLine="0"/>
              <w:rPr>
                <w:lang w:val="en-US"/>
              </w:rPr>
            </w:pPr>
          </w:p>
        </w:tc>
        <w:tc>
          <w:tcPr>
            <w:tcW w:w="3211" w:type="dxa"/>
          </w:tcPr>
          <w:p w14:paraId="274DBAF3" w14:textId="5168A3A4" w:rsidR="00473F1C" w:rsidRPr="00473F1C" w:rsidRDefault="00473F1C" w:rsidP="00510251">
            <w:pPr>
              <w:pStyle w:val="afd"/>
              <w:ind w:firstLine="0"/>
              <w:rPr>
                <w:lang w:val="en-US"/>
              </w:rPr>
            </w:pPr>
            <w:r>
              <w:rPr>
                <w:lang w:val="en-US"/>
              </w:rPr>
              <w:t>API MON FILTER</w:t>
            </w:r>
          </w:p>
        </w:tc>
        <w:tc>
          <w:tcPr>
            <w:tcW w:w="3067" w:type="dxa"/>
          </w:tcPr>
          <w:p w14:paraId="6C09D72A" w14:textId="4312570A" w:rsidR="00473F1C" w:rsidRDefault="00473F1C" w:rsidP="00510251">
            <w:pPr>
              <w:pStyle w:val="afd"/>
              <w:ind w:firstLine="0"/>
            </w:pPr>
            <w:r>
              <w:t>Канал для приёма сообщений от модуля мониторинга разделов жесткого диска</w:t>
            </w:r>
          </w:p>
        </w:tc>
      </w:tr>
      <w:tr w:rsidR="00473F1C" w14:paraId="5ED9BE95" w14:textId="77777777" w:rsidTr="005B3C88">
        <w:tc>
          <w:tcPr>
            <w:tcW w:w="3067" w:type="dxa"/>
            <w:vMerge/>
          </w:tcPr>
          <w:p w14:paraId="0DCCCB89" w14:textId="77777777" w:rsidR="00473F1C" w:rsidRPr="0064659B" w:rsidRDefault="00473F1C" w:rsidP="00510251">
            <w:pPr>
              <w:pStyle w:val="afd"/>
              <w:ind w:firstLine="0"/>
            </w:pPr>
          </w:p>
        </w:tc>
        <w:tc>
          <w:tcPr>
            <w:tcW w:w="3211" w:type="dxa"/>
          </w:tcPr>
          <w:p w14:paraId="04A8ED10" w14:textId="4E639162" w:rsidR="00473F1C" w:rsidRPr="00473F1C" w:rsidRDefault="00473F1C" w:rsidP="00510251">
            <w:pPr>
              <w:pStyle w:val="afd"/>
              <w:ind w:firstLine="0"/>
              <w:rPr>
                <w:lang w:val="en-US"/>
              </w:rPr>
            </w:pPr>
            <w:r>
              <w:rPr>
                <w:lang w:val="en-US"/>
              </w:rPr>
              <w:t>DRIVER MON</w:t>
            </w:r>
          </w:p>
        </w:tc>
        <w:tc>
          <w:tcPr>
            <w:tcW w:w="3067" w:type="dxa"/>
          </w:tcPr>
          <w:p w14:paraId="5F9B2B51" w14:textId="35FE323B" w:rsidR="00473F1C" w:rsidRDefault="00473F1C" w:rsidP="00510251">
            <w:pPr>
              <w:pStyle w:val="afd"/>
              <w:ind w:firstLine="0"/>
            </w:pPr>
            <w:r>
              <w:t>Канал для приёма сообщений от драйвера мониторинга операций ввода-вывода</w:t>
            </w:r>
          </w:p>
        </w:tc>
      </w:tr>
      <w:tr w:rsidR="005B3C88" w14:paraId="53CCF234" w14:textId="77777777" w:rsidTr="005B3C88">
        <w:tc>
          <w:tcPr>
            <w:tcW w:w="3067" w:type="dxa"/>
            <w:vMerge w:val="restart"/>
          </w:tcPr>
          <w:p w14:paraId="39B943B4" w14:textId="564189AD" w:rsidR="005B3C88" w:rsidRPr="00510251" w:rsidRDefault="005B3C88" w:rsidP="00510251">
            <w:pPr>
              <w:pStyle w:val="afd"/>
              <w:ind w:firstLine="0"/>
              <w:rPr>
                <w:lang w:val="en-US"/>
              </w:rPr>
            </w:pPr>
            <w:r>
              <w:rPr>
                <w:lang w:val="en-US"/>
              </w:rPr>
              <w:t>Scanner service</w:t>
            </w:r>
          </w:p>
        </w:tc>
        <w:tc>
          <w:tcPr>
            <w:tcW w:w="3211" w:type="dxa"/>
          </w:tcPr>
          <w:p w14:paraId="13671638" w14:textId="71176072" w:rsidR="005B3C88" w:rsidRPr="00510251" w:rsidRDefault="005B3C88" w:rsidP="00510251">
            <w:pPr>
              <w:pStyle w:val="afd"/>
              <w:ind w:firstLine="0"/>
              <w:rPr>
                <w:lang w:val="en-US"/>
              </w:rPr>
            </w:pPr>
            <w:r>
              <w:rPr>
                <w:lang w:val="en-US"/>
              </w:rPr>
              <w:t>Scanner.CommandPipe</w:t>
            </w:r>
          </w:p>
        </w:tc>
        <w:tc>
          <w:tcPr>
            <w:tcW w:w="3067" w:type="dxa"/>
          </w:tcPr>
          <w:p w14:paraId="74CC119F" w14:textId="3126B155" w:rsidR="005B3C88" w:rsidRDefault="005B3C88" w:rsidP="00510251">
            <w:pPr>
              <w:pStyle w:val="afd"/>
              <w:ind w:firstLine="0"/>
            </w:pPr>
            <w:r>
              <w:t>Канал для команд</w:t>
            </w:r>
          </w:p>
        </w:tc>
      </w:tr>
      <w:tr w:rsidR="005B3C88" w14:paraId="354E1DCE" w14:textId="77777777" w:rsidTr="005B3C88">
        <w:tc>
          <w:tcPr>
            <w:tcW w:w="3067" w:type="dxa"/>
            <w:vMerge/>
          </w:tcPr>
          <w:p w14:paraId="78748F07" w14:textId="77777777" w:rsidR="005B3C88" w:rsidRDefault="005B3C88" w:rsidP="00510251">
            <w:pPr>
              <w:pStyle w:val="afd"/>
              <w:ind w:firstLine="0"/>
            </w:pPr>
          </w:p>
        </w:tc>
        <w:tc>
          <w:tcPr>
            <w:tcW w:w="3211" w:type="dxa"/>
          </w:tcPr>
          <w:p w14:paraId="2A9FED17" w14:textId="08D8443B" w:rsidR="005B3C88" w:rsidRPr="00473F1C" w:rsidRDefault="005B3C88" w:rsidP="00510251">
            <w:pPr>
              <w:pStyle w:val="afd"/>
              <w:ind w:firstLine="0"/>
              <w:rPr>
                <w:lang w:val="en-US"/>
              </w:rPr>
            </w:pPr>
            <w:r>
              <w:rPr>
                <w:lang w:val="en-US"/>
              </w:rPr>
              <w:t>ScannerService.Input</w:t>
            </w:r>
          </w:p>
        </w:tc>
        <w:tc>
          <w:tcPr>
            <w:tcW w:w="3067" w:type="dxa"/>
          </w:tcPr>
          <w:p w14:paraId="54575469" w14:textId="695CC1F1" w:rsidR="005B3C88" w:rsidRDefault="005B3C88" w:rsidP="00510251">
            <w:pPr>
              <w:pStyle w:val="afd"/>
              <w:ind w:firstLine="0"/>
            </w:pPr>
            <w:r>
              <w:t>Канал для приёма путей к сканируемым файлам</w:t>
            </w:r>
          </w:p>
        </w:tc>
      </w:tr>
      <w:tr w:rsidR="005B3C88" w14:paraId="041D97B1" w14:textId="77777777" w:rsidTr="005B3C88">
        <w:tc>
          <w:tcPr>
            <w:tcW w:w="3067" w:type="dxa"/>
            <w:vMerge/>
          </w:tcPr>
          <w:p w14:paraId="44B3D9E0" w14:textId="77777777" w:rsidR="005B3C88" w:rsidRDefault="005B3C88" w:rsidP="00510251">
            <w:pPr>
              <w:pStyle w:val="afd"/>
              <w:ind w:firstLine="0"/>
            </w:pPr>
          </w:p>
        </w:tc>
        <w:tc>
          <w:tcPr>
            <w:tcW w:w="3211" w:type="dxa"/>
          </w:tcPr>
          <w:p w14:paraId="42BA4802" w14:textId="31D2B27D" w:rsidR="005B3C88" w:rsidRPr="005B3C88" w:rsidRDefault="005B3C88" w:rsidP="00510251">
            <w:pPr>
              <w:pStyle w:val="afd"/>
              <w:ind w:firstLine="0"/>
              <w:rPr>
                <w:lang w:val="en-US"/>
              </w:rPr>
            </w:pPr>
            <w:r>
              <w:rPr>
                <w:lang w:val="en-US"/>
              </w:rPr>
              <w:t>ScannerService.Signatures</w:t>
            </w:r>
          </w:p>
        </w:tc>
        <w:tc>
          <w:tcPr>
            <w:tcW w:w="3067" w:type="dxa"/>
          </w:tcPr>
          <w:p w14:paraId="7F694233" w14:textId="1E495C7C" w:rsidR="005B3C88" w:rsidRDefault="005B3C88" w:rsidP="00510251">
            <w:pPr>
              <w:pStyle w:val="afd"/>
              <w:ind w:firstLine="0"/>
            </w:pPr>
            <w:r>
              <w:t>Канал для приёма сигнатур вирусов от модуля базы сигнатур</w:t>
            </w:r>
          </w:p>
        </w:tc>
      </w:tr>
      <w:tr w:rsidR="00510251" w14:paraId="4116D140" w14:textId="77777777" w:rsidTr="005B3C88">
        <w:tc>
          <w:tcPr>
            <w:tcW w:w="3067" w:type="dxa"/>
          </w:tcPr>
          <w:p w14:paraId="10DA43A0" w14:textId="72D3DABA" w:rsidR="00510251" w:rsidRPr="00473F1C" w:rsidRDefault="00473F1C" w:rsidP="00510251">
            <w:pPr>
              <w:pStyle w:val="afd"/>
              <w:ind w:firstLine="0"/>
              <w:rPr>
                <w:lang w:val="en-US"/>
              </w:rPr>
            </w:pPr>
            <w:r>
              <w:rPr>
                <w:lang w:val="en-US"/>
              </w:rPr>
              <w:t>VirusesDB</w:t>
            </w:r>
          </w:p>
        </w:tc>
        <w:tc>
          <w:tcPr>
            <w:tcW w:w="3211" w:type="dxa"/>
          </w:tcPr>
          <w:p w14:paraId="20611829" w14:textId="0DDF8B18" w:rsidR="00510251" w:rsidRPr="00473F1C" w:rsidRDefault="00473F1C" w:rsidP="00510251">
            <w:pPr>
              <w:pStyle w:val="afd"/>
              <w:ind w:firstLine="0"/>
              <w:rPr>
                <w:lang w:val="en-US"/>
              </w:rPr>
            </w:pPr>
            <w:r>
              <w:rPr>
                <w:lang w:val="en-US"/>
              </w:rPr>
              <w:t>VirusesDb.CommandPipe</w:t>
            </w:r>
          </w:p>
        </w:tc>
        <w:tc>
          <w:tcPr>
            <w:tcW w:w="3067" w:type="dxa"/>
          </w:tcPr>
          <w:p w14:paraId="47E897DD" w14:textId="4FBE81E8" w:rsidR="00510251" w:rsidRPr="00473F1C" w:rsidRDefault="00473F1C" w:rsidP="00510251">
            <w:pPr>
              <w:pStyle w:val="afd"/>
              <w:ind w:firstLine="0"/>
              <w:rPr>
                <w:lang w:val="en-US"/>
              </w:rPr>
            </w:pPr>
            <w:r>
              <w:t>Канал для команд</w:t>
            </w:r>
          </w:p>
        </w:tc>
      </w:tr>
      <w:tr w:rsidR="00473F1C" w14:paraId="139A8CB2" w14:textId="77777777" w:rsidTr="005B3C88">
        <w:tc>
          <w:tcPr>
            <w:tcW w:w="3067" w:type="dxa"/>
          </w:tcPr>
          <w:p w14:paraId="4E1F2C72" w14:textId="44FCC4A7" w:rsidR="00473F1C" w:rsidRPr="00473F1C" w:rsidRDefault="00473F1C" w:rsidP="00510251">
            <w:pPr>
              <w:pStyle w:val="afd"/>
              <w:ind w:firstLine="0"/>
              <w:rPr>
                <w:lang w:val="en-US"/>
              </w:rPr>
            </w:pPr>
            <w:r>
              <w:rPr>
                <w:lang w:val="en-US"/>
              </w:rPr>
              <w:t>Cryptographer</w:t>
            </w:r>
          </w:p>
        </w:tc>
        <w:tc>
          <w:tcPr>
            <w:tcW w:w="3211" w:type="dxa"/>
          </w:tcPr>
          <w:p w14:paraId="1CF8F033" w14:textId="04056B47" w:rsidR="00473F1C" w:rsidRPr="00473F1C" w:rsidRDefault="00473F1C" w:rsidP="00510251">
            <w:pPr>
              <w:pStyle w:val="afd"/>
              <w:ind w:firstLine="0"/>
              <w:rPr>
                <w:lang w:val="en-US"/>
              </w:rPr>
            </w:pPr>
            <w:r>
              <w:rPr>
                <w:lang w:val="en-US"/>
              </w:rPr>
              <w:t>Crypto.CommandPipe</w:t>
            </w:r>
          </w:p>
        </w:tc>
        <w:tc>
          <w:tcPr>
            <w:tcW w:w="3067" w:type="dxa"/>
          </w:tcPr>
          <w:p w14:paraId="1523A5C1" w14:textId="3E8522DB" w:rsidR="00473F1C" w:rsidRPr="00494D57" w:rsidRDefault="00473F1C" w:rsidP="00510251">
            <w:pPr>
              <w:pStyle w:val="afd"/>
              <w:ind w:firstLine="0"/>
              <w:rPr>
                <w:lang w:val="en-US"/>
              </w:rPr>
            </w:pPr>
            <w:r>
              <w:t>Канал для команд</w:t>
            </w:r>
          </w:p>
        </w:tc>
      </w:tr>
      <w:tr w:rsidR="00473F1C" w14:paraId="6393429B" w14:textId="77777777" w:rsidTr="005B3C88">
        <w:tc>
          <w:tcPr>
            <w:tcW w:w="3067" w:type="dxa"/>
          </w:tcPr>
          <w:p w14:paraId="7F655BC9" w14:textId="16D05C62" w:rsidR="00473F1C" w:rsidRPr="00494D57" w:rsidRDefault="00494D57" w:rsidP="00510251">
            <w:pPr>
              <w:pStyle w:val="afd"/>
              <w:ind w:firstLine="0"/>
              <w:rPr>
                <w:lang w:val="en-US"/>
              </w:rPr>
            </w:pPr>
            <w:r>
              <w:rPr>
                <w:lang w:val="en-US"/>
              </w:rPr>
              <w:t>Driver connector</w:t>
            </w:r>
          </w:p>
        </w:tc>
        <w:tc>
          <w:tcPr>
            <w:tcW w:w="3211" w:type="dxa"/>
          </w:tcPr>
          <w:p w14:paraId="6E7F1DA9" w14:textId="2D996F8D" w:rsidR="00473F1C" w:rsidRPr="00494D57" w:rsidRDefault="00494D57" w:rsidP="00510251">
            <w:pPr>
              <w:pStyle w:val="afd"/>
              <w:ind w:firstLine="0"/>
              <w:rPr>
                <w:lang w:val="en-US"/>
              </w:rPr>
            </w:pPr>
            <w:r>
              <w:rPr>
                <w:lang w:val="en-US"/>
              </w:rPr>
              <w:t>DriverMon.CommandPipe</w:t>
            </w:r>
          </w:p>
        </w:tc>
        <w:tc>
          <w:tcPr>
            <w:tcW w:w="3067" w:type="dxa"/>
          </w:tcPr>
          <w:p w14:paraId="1DA1CF1D" w14:textId="23A31E6A" w:rsidR="00473F1C" w:rsidRDefault="00494D57" w:rsidP="00510251">
            <w:pPr>
              <w:pStyle w:val="afd"/>
              <w:ind w:firstLine="0"/>
            </w:pPr>
            <w:r>
              <w:t>Канал для команд</w:t>
            </w:r>
          </w:p>
        </w:tc>
      </w:tr>
    </w:tbl>
    <w:p w14:paraId="3ED634B2" w14:textId="3AB0730C" w:rsidR="00DD126D" w:rsidRDefault="00DD126D" w:rsidP="00DD126D">
      <w:pPr>
        <w:pStyle w:val="afd"/>
      </w:pPr>
    </w:p>
    <w:p w14:paraId="1E3A59CB" w14:textId="3F9390B2" w:rsidR="00DD126D" w:rsidRDefault="00DD126D" w:rsidP="00DD126D">
      <w:pPr>
        <w:pStyle w:val="afd"/>
      </w:pPr>
    </w:p>
    <w:p w14:paraId="1B22CF3D" w14:textId="21751115" w:rsidR="00DD126D" w:rsidRDefault="00DD126D" w:rsidP="00DD126D">
      <w:pPr>
        <w:pStyle w:val="afd"/>
      </w:pPr>
    </w:p>
    <w:p w14:paraId="231D15C4" w14:textId="71C1BA38" w:rsidR="00DD126D" w:rsidRDefault="00DD126D" w:rsidP="00DD126D">
      <w:pPr>
        <w:pStyle w:val="afd"/>
      </w:pPr>
      <w:r>
        <w:br w:type="page"/>
      </w:r>
    </w:p>
    <w:p w14:paraId="7CB1A308" w14:textId="1026E2C4" w:rsidR="006C1E8E" w:rsidRDefault="006C1E8E" w:rsidP="006C1E8E">
      <w:pPr>
        <w:pStyle w:val="afb"/>
      </w:pPr>
      <w:r>
        <w:lastRenderedPageBreak/>
        <w:t>2.2.7 Выходные данные</w:t>
      </w:r>
    </w:p>
    <w:p w14:paraId="4B2E9C83" w14:textId="3AAAFBF0" w:rsidR="00510251" w:rsidRDefault="00510251" w:rsidP="00510251">
      <w:pPr>
        <w:pStyle w:val="afd"/>
      </w:pPr>
      <w:r>
        <w:t>Текст</w:t>
      </w:r>
    </w:p>
    <w:p w14:paraId="4C8FEF51" w14:textId="48DCDB0E" w:rsidR="00DD126D" w:rsidRDefault="00DD126D" w:rsidP="00510251">
      <w:pPr>
        <w:pStyle w:val="afd"/>
      </w:pPr>
    </w:p>
    <w:p w14:paraId="5BCC7FC0" w14:textId="782B8A20" w:rsidR="00DD126D" w:rsidRDefault="00DD126D" w:rsidP="00510251">
      <w:pPr>
        <w:pStyle w:val="afd"/>
      </w:pPr>
      <w:r>
        <w:br w:type="page"/>
      </w:r>
    </w:p>
    <w:p w14:paraId="6737A786" w14:textId="150E106A" w:rsidR="006C1E8E" w:rsidRPr="00D77107" w:rsidRDefault="006C1E8E" w:rsidP="006C1E8E">
      <w:pPr>
        <w:pStyle w:val="afb"/>
      </w:pPr>
      <w:r>
        <w:lastRenderedPageBreak/>
        <w:t>2.2.8 Рекомендации по использованию</w:t>
      </w:r>
    </w:p>
    <w:sectPr w:rsidR="006C1E8E" w:rsidRPr="00D771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5DF09" w14:textId="77777777" w:rsidR="0035169D" w:rsidRDefault="0035169D">
      <w:pPr>
        <w:spacing w:after="0"/>
      </w:pPr>
      <w:r>
        <w:separator/>
      </w:r>
    </w:p>
  </w:endnote>
  <w:endnote w:type="continuationSeparator" w:id="0">
    <w:p w14:paraId="6A0932DB" w14:textId="77777777" w:rsidR="0035169D" w:rsidRDefault="003516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794B2" w14:textId="77777777" w:rsidR="0035169D" w:rsidRDefault="0035169D">
      <w:pPr>
        <w:spacing w:after="0"/>
      </w:pPr>
      <w:r>
        <w:separator/>
      </w:r>
    </w:p>
  </w:footnote>
  <w:footnote w:type="continuationSeparator" w:id="0">
    <w:p w14:paraId="3D5BD9EC" w14:textId="77777777" w:rsidR="0035169D" w:rsidRDefault="003516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46F2"/>
    <w:rsid w:val="00037E0D"/>
    <w:rsid w:val="000445A8"/>
    <w:rsid w:val="00045E4D"/>
    <w:rsid w:val="00065624"/>
    <w:rsid w:val="00072F49"/>
    <w:rsid w:val="00074D7C"/>
    <w:rsid w:val="000A3EE8"/>
    <w:rsid w:val="000A49C8"/>
    <w:rsid w:val="000A7E8E"/>
    <w:rsid w:val="000C3B65"/>
    <w:rsid w:val="000C783E"/>
    <w:rsid w:val="000D3BD0"/>
    <w:rsid w:val="000E48D5"/>
    <w:rsid w:val="000E55D3"/>
    <w:rsid w:val="001057A2"/>
    <w:rsid w:val="00117506"/>
    <w:rsid w:val="001276BF"/>
    <w:rsid w:val="001639E1"/>
    <w:rsid w:val="00165FDA"/>
    <w:rsid w:val="001720D9"/>
    <w:rsid w:val="001732B5"/>
    <w:rsid w:val="00184621"/>
    <w:rsid w:val="00193952"/>
    <w:rsid w:val="001A2DC3"/>
    <w:rsid w:val="001A5589"/>
    <w:rsid w:val="001C61F0"/>
    <w:rsid w:val="001D598F"/>
    <w:rsid w:val="001D615C"/>
    <w:rsid w:val="001E615B"/>
    <w:rsid w:val="001F23D3"/>
    <w:rsid w:val="002253C2"/>
    <w:rsid w:val="00231AF5"/>
    <w:rsid w:val="00237B3D"/>
    <w:rsid w:val="00245D19"/>
    <w:rsid w:val="00246C7B"/>
    <w:rsid w:val="00250345"/>
    <w:rsid w:val="002566FA"/>
    <w:rsid w:val="002625FE"/>
    <w:rsid w:val="002A2269"/>
    <w:rsid w:val="002B5D6A"/>
    <w:rsid w:val="002C1958"/>
    <w:rsid w:val="002E22F9"/>
    <w:rsid w:val="00311FD6"/>
    <w:rsid w:val="00312DAB"/>
    <w:rsid w:val="00314FF9"/>
    <w:rsid w:val="00317158"/>
    <w:rsid w:val="00344431"/>
    <w:rsid w:val="0035169D"/>
    <w:rsid w:val="0035731B"/>
    <w:rsid w:val="00377992"/>
    <w:rsid w:val="00387C17"/>
    <w:rsid w:val="003A06BD"/>
    <w:rsid w:val="003B325B"/>
    <w:rsid w:val="003B498F"/>
    <w:rsid w:val="003D602C"/>
    <w:rsid w:val="003E4354"/>
    <w:rsid w:val="00423754"/>
    <w:rsid w:val="00425873"/>
    <w:rsid w:val="00445B7B"/>
    <w:rsid w:val="00454E3B"/>
    <w:rsid w:val="00473F1C"/>
    <w:rsid w:val="004838C0"/>
    <w:rsid w:val="00487837"/>
    <w:rsid w:val="00487A0C"/>
    <w:rsid w:val="00494D57"/>
    <w:rsid w:val="004B39F4"/>
    <w:rsid w:val="004C6442"/>
    <w:rsid w:val="004D58A2"/>
    <w:rsid w:val="00510251"/>
    <w:rsid w:val="00521CD7"/>
    <w:rsid w:val="00523CF4"/>
    <w:rsid w:val="00527C24"/>
    <w:rsid w:val="0053182E"/>
    <w:rsid w:val="0054516A"/>
    <w:rsid w:val="00546061"/>
    <w:rsid w:val="00547930"/>
    <w:rsid w:val="0054797B"/>
    <w:rsid w:val="005827AE"/>
    <w:rsid w:val="005B3C88"/>
    <w:rsid w:val="005B77E0"/>
    <w:rsid w:val="005C3F7E"/>
    <w:rsid w:val="005D00F1"/>
    <w:rsid w:val="005D3BD5"/>
    <w:rsid w:val="005E4EBC"/>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346F4"/>
    <w:rsid w:val="007479C1"/>
    <w:rsid w:val="00756D8C"/>
    <w:rsid w:val="0079188C"/>
    <w:rsid w:val="00793CC2"/>
    <w:rsid w:val="007A0D24"/>
    <w:rsid w:val="007D1A63"/>
    <w:rsid w:val="007D368A"/>
    <w:rsid w:val="007E0A28"/>
    <w:rsid w:val="007F56CE"/>
    <w:rsid w:val="00842A7B"/>
    <w:rsid w:val="0084771B"/>
    <w:rsid w:val="0085334F"/>
    <w:rsid w:val="00861951"/>
    <w:rsid w:val="00871FC4"/>
    <w:rsid w:val="00876D89"/>
    <w:rsid w:val="00877ACE"/>
    <w:rsid w:val="00883D84"/>
    <w:rsid w:val="00886D81"/>
    <w:rsid w:val="008A563B"/>
    <w:rsid w:val="008B2C3E"/>
    <w:rsid w:val="008D49A8"/>
    <w:rsid w:val="008E0F30"/>
    <w:rsid w:val="008F42AF"/>
    <w:rsid w:val="009201F7"/>
    <w:rsid w:val="0092574F"/>
    <w:rsid w:val="00945860"/>
    <w:rsid w:val="00963961"/>
    <w:rsid w:val="009773F5"/>
    <w:rsid w:val="00986859"/>
    <w:rsid w:val="009B4080"/>
    <w:rsid w:val="009D05A7"/>
    <w:rsid w:val="009D645A"/>
    <w:rsid w:val="009E530E"/>
    <w:rsid w:val="00A0259B"/>
    <w:rsid w:val="00A20D76"/>
    <w:rsid w:val="00A31284"/>
    <w:rsid w:val="00A3139C"/>
    <w:rsid w:val="00A36036"/>
    <w:rsid w:val="00A45769"/>
    <w:rsid w:val="00A775E2"/>
    <w:rsid w:val="00A77B6B"/>
    <w:rsid w:val="00AA507B"/>
    <w:rsid w:val="00AB5A56"/>
    <w:rsid w:val="00AB6AE4"/>
    <w:rsid w:val="00AD1269"/>
    <w:rsid w:val="00B00AC3"/>
    <w:rsid w:val="00B07E5C"/>
    <w:rsid w:val="00B271B7"/>
    <w:rsid w:val="00B319F6"/>
    <w:rsid w:val="00B347F3"/>
    <w:rsid w:val="00B35655"/>
    <w:rsid w:val="00B3605C"/>
    <w:rsid w:val="00B5665E"/>
    <w:rsid w:val="00B62A2B"/>
    <w:rsid w:val="00B70354"/>
    <w:rsid w:val="00BA2150"/>
    <w:rsid w:val="00BB2CE3"/>
    <w:rsid w:val="00BF46B3"/>
    <w:rsid w:val="00C152BD"/>
    <w:rsid w:val="00C23752"/>
    <w:rsid w:val="00C53970"/>
    <w:rsid w:val="00C62772"/>
    <w:rsid w:val="00C74A01"/>
    <w:rsid w:val="00C97429"/>
    <w:rsid w:val="00CC3EA0"/>
    <w:rsid w:val="00CD4144"/>
    <w:rsid w:val="00CD6BA6"/>
    <w:rsid w:val="00CF4ACA"/>
    <w:rsid w:val="00D472E7"/>
    <w:rsid w:val="00D77107"/>
    <w:rsid w:val="00D80BAF"/>
    <w:rsid w:val="00DA1E36"/>
    <w:rsid w:val="00DA2D01"/>
    <w:rsid w:val="00DA329D"/>
    <w:rsid w:val="00DB540E"/>
    <w:rsid w:val="00DD126D"/>
    <w:rsid w:val="00DD6F27"/>
    <w:rsid w:val="00DE00DB"/>
    <w:rsid w:val="00DE280F"/>
    <w:rsid w:val="00DE5034"/>
    <w:rsid w:val="00DE5BA8"/>
    <w:rsid w:val="00E34A77"/>
    <w:rsid w:val="00E405B1"/>
    <w:rsid w:val="00E478ED"/>
    <w:rsid w:val="00E55E03"/>
    <w:rsid w:val="00E83BC3"/>
    <w:rsid w:val="00E85EF0"/>
    <w:rsid w:val="00EA181E"/>
    <w:rsid w:val="00ED2C7B"/>
    <w:rsid w:val="00EE742C"/>
    <w:rsid w:val="00F46F6F"/>
    <w:rsid w:val="00F66E0C"/>
    <w:rsid w:val="00F715B6"/>
    <w:rsid w:val="00F82F3C"/>
    <w:rsid w:val="00F918EA"/>
    <w:rsid w:val="00FA0D1C"/>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CCC3-CEBD-4A11-A1CC-977D30330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17642</TotalTime>
  <Pages>43</Pages>
  <Words>7418</Words>
  <Characters>42289</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128</cp:revision>
  <dcterms:created xsi:type="dcterms:W3CDTF">2020-12-22T03:11:00Z</dcterms:created>
  <dcterms:modified xsi:type="dcterms:W3CDTF">2021-02-09T22:22:00Z</dcterms:modified>
</cp:coreProperties>
</file>