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6418" w14:textId="77777777" w:rsidR="00627D5C" w:rsidRDefault="00000000">
      <w:r>
        <w:rPr>
          <w:b/>
          <w:color w:val="1F4E79"/>
          <w:sz w:val="36"/>
        </w:rPr>
        <w:t>Worksheet - Choosing a Chain: a Five-Criterion Decision Framework</w:t>
      </w:r>
    </w:p>
    <w:p w14:paraId="6655AEBB" w14:textId="77777777" w:rsidR="00627D5C" w:rsidRDefault="00000000">
      <w:r>
        <w:rPr>
          <w:b/>
          <w:color w:val="1F4E79"/>
        </w:rPr>
        <w:t>Week 4, Session 2  |  Assessment 2 (A2) - the weekly worksheets  |  You submit this yourself</w:t>
      </w:r>
    </w:p>
    <w:p w14:paraId="001D16C0" w14:textId="77777777" w:rsidR="00627D5C" w:rsidRDefault="00000000">
      <w:r>
        <w:rPr>
          <w:i/>
          <w:color w:val="808080"/>
          <w:sz w:val="18"/>
        </w:rPr>
        <w:t>Complete it in class and submit it on Moodle before you leave.</w:t>
      </w:r>
    </w:p>
    <w:p w14:paraId="76FE7CEB" w14:textId="77777777" w:rsidR="00627D5C"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BB0BFC" w14:paraId="6FE8964F" w14:textId="77777777" w:rsidTr="00BB0BFC">
        <w:tc>
          <w:tcPr>
            <w:tcW w:w="3683" w:type="dxa"/>
            <w:tcBorders>
              <w:top w:val="single" w:sz="4" w:space="0" w:color="BFBFBF"/>
              <w:left w:val="single" w:sz="4" w:space="0" w:color="BFBFBF"/>
              <w:bottom w:val="single" w:sz="4" w:space="0" w:color="BFBFBF"/>
              <w:right w:val="single" w:sz="4" w:space="0" w:color="BFBFBF"/>
            </w:tcBorders>
          </w:tcPr>
          <w:p w14:paraId="1C0B33EB" w14:textId="77777777" w:rsidR="00BB0BFC" w:rsidRDefault="00BB0BFC" w:rsidP="00BB0BFC">
            <w:r>
              <w:rPr>
                <w:b/>
                <w:sz w:val="20"/>
              </w:rPr>
              <w:t>Full name</w:t>
            </w:r>
          </w:p>
        </w:tc>
        <w:tc>
          <w:tcPr>
            <w:tcW w:w="5667" w:type="dxa"/>
            <w:tcBorders>
              <w:top w:val="single" w:sz="4" w:space="0" w:color="BFBFBF"/>
              <w:left w:val="single" w:sz="4" w:space="0" w:color="BFBFBF"/>
              <w:bottom w:val="single" w:sz="4" w:space="0" w:color="BFBFBF"/>
              <w:right w:val="single" w:sz="4" w:space="0" w:color="BFBFBF"/>
            </w:tcBorders>
          </w:tcPr>
          <w:p w14:paraId="74D3797D" w14:textId="423DBBB2" w:rsidR="00BB0BFC" w:rsidRDefault="00BB0BFC" w:rsidP="00BB0BFC">
            <w:r>
              <w:t>Meqdad Muhana</w:t>
            </w:r>
          </w:p>
        </w:tc>
      </w:tr>
      <w:tr w:rsidR="00BB0BFC" w14:paraId="377B3F5E" w14:textId="77777777" w:rsidTr="00BB0BFC">
        <w:tc>
          <w:tcPr>
            <w:tcW w:w="3683" w:type="dxa"/>
            <w:tcBorders>
              <w:top w:val="single" w:sz="4" w:space="0" w:color="BFBFBF"/>
              <w:left w:val="single" w:sz="4" w:space="0" w:color="BFBFBF"/>
              <w:bottom w:val="single" w:sz="4" w:space="0" w:color="BFBFBF"/>
              <w:right w:val="single" w:sz="4" w:space="0" w:color="BFBFBF"/>
            </w:tcBorders>
          </w:tcPr>
          <w:p w14:paraId="48DB561A" w14:textId="77777777" w:rsidR="00BB0BFC" w:rsidRDefault="00BB0BFC" w:rsidP="00BB0BFC">
            <w:r>
              <w:rPr>
                <w:b/>
                <w:sz w:val="20"/>
              </w:rPr>
              <w:t>Student ID</w:t>
            </w:r>
          </w:p>
        </w:tc>
        <w:tc>
          <w:tcPr>
            <w:tcW w:w="5667" w:type="dxa"/>
            <w:tcBorders>
              <w:top w:val="single" w:sz="4" w:space="0" w:color="BFBFBF"/>
              <w:left w:val="single" w:sz="4" w:space="0" w:color="BFBFBF"/>
              <w:bottom w:val="single" w:sz="4" w:space="0" w:color="BFBFBF"/>
              <w:right w:val="single" w:sz="4" w:space="0" w:color="BFBFBF"/>
            </w:tcBorders>
          </w:tcPr>
          <w:p w14:paraId="2182F199" w14:textId="5E445E17" w:rsidR="00BB0BFC" w:rsidRDefault="00BB0BFC" w:rsidP="00BB0BFC">
            <w:pPr>
              <w:tabs>
                <w:tab w:val="left" w:pos="2070"/>
              </w:tabs>
            </w:pPr>
            <w:r>
              <w:t>202306213</w:t>
            </w:r>
            <w:r>
              <w:tab/>
            </w:r>
          </w:p>
        </w:tc>
      </w:tr>
      <w:tr w:rsidR="00BB0BFC" w14:paraId="4BCA38BB" w14:textId="77777777" w:rsidTr="00BB0BFC">
        <w:tc>
          <w:tcPr>
            <w:tcW w:w="3683" w:type="dxa"/>
            <w:tcBorders>
              <w:top w:val="single" w:sz="4" w:space="0" w:color="BFBFBF"/>
              <w:left w:val="single" w:sz="4" w:space="0" w:color="BFBFBF"/>
              <w:bottom w:val="single" w:sz="4" w:space="0" w:color="BFBFBF"/>
              <w:right w:val="single" w:sz="4" w:space="0" w:color="BFBFBF"/>
            </w:tcBorders>
          </w:tcPr>
          <w:p w14:paraId="0E3AC940" w14:textId="77777777" w:rsidR="00BB0BFC" w:rsidRDefault="00BB0BFC" w:rsidP="00BB0BFC">
            <w:r>
              <w:rPr>
                <w:b/>
                <w:sz w:val="20"/>
              </w:rPr>
              <w:t>Today's partner / group</w:t>
            </w:r>
          </w:p>
        </w:tc>
        <w:tc>
          <w:tcPr>
            <w:tcW w:w="5667" w:type="dxa"/>
            <w:tcBorders>
              <w:top w:val="single" w:sz="4" w:space="0" w:color="BFBFBF"/>
              <w:left w:val="single" w:sz="4" w:space="0" w:color="BFBFBF"/>
              <w:bottom w:val="single" w:sz="4" w:space="0" w:color="BFBFBF"/>
              <w:right w:val="single" w:sz="4" w:space="0" w:color="BFBFBF"/>
            </w:tcBorders>
          </w:tcPr>
          <w:p w14:paraId="00475666" w14:textId="3B97866E" w:rsidR="00BB0BFC" w:rsidRDefault="00BB0BFC" w:rsidP="00BB0BFC">
            <w:r>
              <w:t xml:space="preserve">Ali Mohammed Radhi – 202304871 / </w:t>
            </w:r>
            <w:r w:rsidRPr="00214B6C">
              <w:t>Sayed Ali Abbas Mahmood</w:t>
            </w:r>
            <w:r>
              <w:t xml:space="preserve"> - </w:t>
            </w:r>
            <w:r w:rsidRPr="00214B6C">
              <w:t>202301601</w:t>
            </w:r>
          </w:p>
        </w:tc>
      </w:tr>
    </w:tbl>
    <w:p w14:paraId="27EF482F" w14:textId="77777777" w:rsidR="00627D5C" w:rsidRDefault="00000000">
      <w:pPr>
        <w:spacing w:before="200" w:after="80"/>
      </w:pPr>
      <w:r>
        <w:rPr>
          <w:b/>
          <w:color w:val="1F4E79"/>
          <w:sz w:val="26"/>
        </w:rPr>
        <w:t>How this worksheet works</w:t>
      </w:r>
    </w:p>
    <w:p w14:paraId="21B10AAB" w14:textId="77777777" w:rsidR="00627D5C" w:rsidRDefault="00000000">
      <w:pPr>
        <w:spacing w:after="40"/>
        <w:ind w:left="432" w:hanging="216"/>
      </w:pPr>
      <w:r>
        <w:rPr>
          <w:sz w:val="22"/>
        </w:rPr>
        <w:t>•  This worksheet counts towards Assessment 2. You complete and submit it yourself, even when you work with others.</w:t>
      </w:r>
    </w:p>
    <w:p w14:paraId="1FF30290" w14:textId="77777777" w:rsidR="00627D5C" w:rsidRDefault="00000000">
      <w:pPr>
        <w:spacing w:after="40"/>
        <w:ind w:left="432" w:hanging="216"/>
      </w:pPr>
      <w:r>
        <w:rPr>
          <w:sz w:val="22"/>
        </w:rPr>
        <w:t>•  Write your answers in your own words, and list any sources you used in Task 4.</w:t>
      </w:r>
    </w:p>
    <w:p w14:paraId="48B609E1" w14:textId="77777777" w:rsidR="00627D5C" w:rsidRDefault="00000000">
      <w:pPr>
        <w:spacing w:before="200" w:after="80"/>
      </w:pPr>
      <w:r>
        <w:rPr>
          <w:b/>
          <w:color w:val="1F4E79"/>
          <w:sz w:val="26"/>
        </w:rPr>
        <w:t>Words to know</w:t>
      </w:r>
    </w:p>
    <w:p w14:paraId="0AA5E617" w14:textId="77777777" w:rsidR="00627D5C"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4"/>
        <w:gridCol w:w="6506"/>
      </w:tblGrid>
      <w:tr w:rsidR="00627D5C" w14:paraId="11BEE677"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1978C2AB" w14:textId="77777777" w:rsidR="00627D5C"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48D0EA72" w14:textId="77777777" w:rsidR="00627D5C" w:rsidRDefault="00000000">
            <w:r>
              <w:rPr>
                <w:b/>
                <w:color w:val="FFFFFF"/>
                <w:sz w:val="20"/>
              </w:rPr>
              <w:t>Plain meaning</w:t>
            </w:r>
          </w:p>
        </w:tc>
      </w:tr>
      <w:tr w:rsidR="00627D5C" w14:paraId="65089CAB" w14:textId="77777777">
        <w:tc>
          <w:tcPr>
            <w:tcW w:w="2880" w:type="dxa"/>
            <w:tcBorders>
              <w:top w:val="single" w:sz="4" w:space="0" w:color="BFBFBF"/>
              <w:left w:val="single" w:sz="4" w:space="0" w:color="BFBFBF"/>
              <w:bottom w:val="single" w:sz="4" w:space="0" w:color="BFBFBF"/>
              <w:right w:val="single" w:sz="4" w:space="0" w:color="BFBFBF"/>
            </w:tcBorders>
          </w:tcPr>
          <w:p w14:paraId="639C2EE8" w14:textId="77777777" w:rsidR="00627D5C" w:rsidRDefault="00000000">
            <w:r>
              <w:rPr>
                <w:sz w:val="20"/>
              </w:rPr>
              <w:t>Remittance</w:t>
            </w:r>
          </w:p>
        </w:tc>
        <w:tc>
          <w:tcPr>
            <w:tcW w:w="6624" w:type="dxa"/>
            <w:tcBorders>
              <w:top w:val="single" w:sz="4" w:space="0" w:color="BFBFBF"/>
              <w:left w:val="single" w:sz="4" w:space="0" w:color="BFBFBF"/>
              <w:bottom w:val="single" w:sz="4" w:space="0" w:color="BFBFBF"/>
              <w:right w:val="single" w:sz="4" w:space="0" w:color="BFBFBF"/>
            </w:tcBorders>
          </w:tcPr>
          <w:p w14:paraId="79C065A6" w14:textId="77777777" w:rsidR="00627D5C" w:rsidRDefault="00000000">
            <w:r>
              <w:rPr>
                <w:sz w:val="20"/>
              </w:rPr>
              <w:t>Money sent home by someone working abroad to their family in another country.</w:t>
            </w:r>
          </w:p>
        </w:tc>
      </w:tr>
      <w:tr w:rsidR="00627D5C" w14:paraId="72965159"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166F46A2" w14:textId="77777777" w:rsidR="00627D5C" w:rsidRDefault="00000000">
            <w:r>
              <w:rPr>
                <w:sz w:val="20"/>
              </w:rPr>
              <w:t>Use case</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45F567A7" w14:textId="77777777" w:rsidR="00627D5C" w:rsidRDefault="00000000">
            <w:r>
              <w:rPr>
                <w:sz w:val="20"/>
              </w:rPr>
              <w:t>One specific, real job a technology is being proposed for, such as sending a remittance or issuing a sukuk.</w:t>
            </w:r>
          </w:p>
        </w:tc>
      </w:tr>
      <w:tr w:rsidR="00627D5C" w14:paraId="5380B4F4" w14:textId="77777777">
        <w:tc>
          <w:tcPr>
            <w:tcW w:w="2880" w:type="dxa"/>
            <w:tcBorders>
              <w:top w:val="single" w:sz="4" w:space="0" w:color="BFBFBF"/>
              <w:left w:val="single" w:sz="4" w:space="0" w:color="BFBFBF"/>
              <w:bottom w:val="single" w:sz="4" w:space="0" w:color="BFBFBF"/>
              <w:right w:val="single" w:sz="4" w:space="0" w:color="BFBFBF"/>
            </w:tcBorders>
          </w:tcPr>
          <w:p w14:paraId="0BBBC1D1" w14:textId="77777777" w:rsidR="00627D5C" w:rsidRDefault="00000000">
            <w:r>
              <w:rPr>
                <w:sz w:val="20"/>
              </w:rPr>
              <w:t>Governance</w:t>
            </w:r>
          </w:p>
        </w:tc>
        <w:tc>
          <w:tcPr>
            <w:tcW w:w="6624" w:type="dxa"/>
            <w:tcBorders>
              <w:top w:val="single" w:sz="4" w:space="0" w:color="BFBFBF"/>
              <w:left w:val="single" w:sz="4" w:space="0" w:color="BFBFBF"/>
              <w:bottom w:val="single" w:sz="4" w:space="0" w:color="BFBFBF"/>
              <w:right w:val="single" w:sz="4" w:space="0" w:color="BFBFBF"/>
            </w:tcBorders>
          </w:tcPr>
          <w:p w14:paraId="3D07136B" w14:textId="77777777" w:rsidR="00627D5C" w:rsidRDefault="00000000">
            <w:r>
              <w:rPr>
                <w:sz w:val="20"/>
              </w:rPr>
              <w:t>Who is allowed to decide the rules, change them, and settle disputes.</w:t>
            </w:r>
          </w:p>
        </w:tc>
      </w:tr>
      <w:tr w:rsidR="00627D5C" w14:paraId="4CB693FD"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0BAAE09E" w14:textId="77777777" w:rsidR="00627D5C" w:rsidRDefault="00000000">
            <w:r>
              <w:rPr>
                <w:sz w:val="20"/>
              </w:rPr>
              <w:t>Throughput</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3577B70F" w14:textId="77777777" w:rsidR="00627D5C" w:rsidRDefault="00000000">
            <w:r>
              <w:rPr>
                <w:sz w:val="20"/>
              </w:rPr>
              <w:t>How many transactions a network can handle in a given time.</w:t>
            </w:r>
          </w:p>
        </w:tc>
      </w:tr>
      <w:tr w:rsidR="00627D5C" w14:paraId="1D64B03D" w14:textId="77777777">
        <w:tc>
          <w:tcPr>
            <w:tcW w:w="2880" w:type="dxa"/>
            <w:tcBorders>
              <w:top w:val="single" w:sz="4" w:space="0" w:color="BFBFBF"/>
              <w:left w:val="single" w:sz="4" w:space="0" w:color="BFBFBF"/>
              <w:bottom w:val="single" w:sz="4" w:space="0" w:color="BFBFBF"/>
              <w:right w:val="single" w:sz="4" w:space="0" w:color="BFBFBF"/>
            </w:tcBorders>
          </w:tcPr>
          <w:p w14:paraId="13582D13" w14:textId="77777777" w:rsidR="00627D5C" w:rsidRDefault="00000000">
            <w:r>
              <w:rPr>
                <w:sz w:val="20"/>
              </w:rPr>
              <w:t>Escrow</w:t>
            </w:r>
          </w:p>
        </w:tc>
        <w:tc>
          <w:tcPr>
            <w:tcW w:w="6624" w:type="dxa"/>
            <w:tcBorders>
              <w:top w:val="single" w:sz="4" w:space="0" w:color="BFBFBF"/>
              <w:left w:val="single" w:sz="4" w:space="0" w:color="BFBFBF"/>
              <w:bottom w:val="single" w:sz="4" w:space="0" w:color="BFBFBF"/>
              <w:right w:val="single" w:sz="4" w:space="0" w:color="BFBFBF"/>
            </w:tcBorders>
          </w:tcPr>
          <w:p w14:paraId="38C5F56A" w14:textId="77777777" w:rsidR="00627D5C" w:rsidRDefault="00000000">
            <w:r>
              <w:rPr>
                <w:sz w:val="20"/>
              </w:rPr>
              <w:t>Money or an asset held by a neutral party and released only when the agreed conditions have been met.</w:t>
            </w:r>
          </w:p>
        </w:tc>
      </w:tr>
      <w:tr w:rsidR="00627D5C" w14:paraId="1842A2D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3AC9C7A3" w14:textId="77777777" w:rsidR="00627D5C" w:rsidRDefault="00000000">
            <w:r>
              <w:rPr>
                <w:sz w:val="20"/>
              </w:rPr>
              <w:t>Protocol</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69FC89E2" w14:textId="77777777" w:rsidR="00627D5C" w:rsidRDefault="00000000">
            <w:r>
              <w:rPr>
                <w:sz w:val="20"/>
              </w:rPr>
              <w:t>The agreed set of rules computers follow so they can work together. On a blockchain it decides how blocks are made, checked and accepted.</w:t>
            </w:r>
          </w:p>
        </w:tc>
      </w:tr>
    </w:tbl>
    <w:p w14:paraId="4F6E79C8" w14:textId="77777777" w:rsidR="00627D5C" w:rsidRDefault="00000000">
      <w:pPr>
        <w:spacing w:before="200" w:after="80"/>
      </w:pPr>
      <w:r>
        <w:rPr>
          <w:b/>
          <w:color w:val="1F4E79"/>
          <w:sz w:val="26"/>
        </w:rPr>
        <w:lastRenderedPageBreak/>
        <w:t>Task 1 - From the reading</w:t>
      </w:r>
    </w:p>
    <w:p w14:paraId="5C42DFC5" w14:textId="77777777" w:rsidR="00627D5C" w:rsidRDefault="00000000">
      <w:r>
        <w:rPr>
          <w:i/>
          <w:sz w:val="22"/>
        </w:rPr>
        <w:t>Answer the guiding questions from the structured extract.</w:t>
      </w:r>
    </w:p>
    <w:p w14:paraId="0C8F7AE9" w14:textId="77777777" w:rsidR="00627D5C" w:rsidRDefault="00000000">
      <w:r>
        <w:rPr>
          <w:i/>
          <w:sz w:val="20"/>
        </w:rPr>
        <w:t>Expected: 2-3 sentences per question.</w:t>
      </w:r>
    </w:p>
    <w:p w14:paraId="776AF729" w14:textId="77777777" w:rsidR="00627D5C" w:rsidRDefault="00000000">
      <w:r>
        <w:rPr>
          <w:b/>
          <w:sz w:val="22"/>
        </w:rPr>
        <w:t>Q1. Which criterion most often decides a chain choice in a regulated market?</w:t>
      </w:r>
    </w:p>
    <w:tbl>
      <w:tblPr>
        <w:tblW w:w="0" w:type="auto"/>
        <w:tblLook w:val="04A0" w:firstRow="1" w:lastRow="0" w:firstColumn="1" w:lastColumn="0" w:noHBand="0" w:noVBand="1"/>
      </w:tblPr>
      <w:tblGrid>
        <w:gridCol w:w="9350"/>
      </w:tblGrid>
      <w:tr w:rsidR="00627D5C" w14:paraId="4C0DD9F0" w14:textId="77777777" w:rsidTr="00BB0BFC">
        <w:tc>
          <w:tcPr>
            <w:tcW w:w="9350" w:type="dxa"/>
            <w:tcBorders>
              <w:top w:val="single" w:sz="4" w:space="0" w:color="BFBFBF"/>
              <w:left w:val="single" w:sz="4" w:space="0" w:color="BFBFBF"/>
              <w:bottom w:val="single" w:sz="4" w:space="0" w:color="BFBFBF"/>
              <w:right w:val="single" w:sz="4" w:space="0" w:color="BFBFBF"/>
            </w:tcBorders>
          </w:tcPr>
          <w:p w14:paraId="5D98DAC7" w14:textId="1E662AB7" w:rsidR="00627D5C" w:rsidRDefault="009947BF" w:rsidP="009947BF">
            <w:r w:rsidRPr="009947BF">
              <w:t>In a regulated financial market, the regulatory profile is the criterion that most often decides the chain choice because financial supervisors like the Central Bank of Bahrain (CBB) require legally accountable entities, verified counterparties, and strict customer data privacy. While public networks may offer lower initial setup costs or global reach, licensed institutions cannot legally operate on chains where validators are anonymous or where governance cannot be held liable. Therefore, supervisory compliance outweighs raw technical speed, as any platform that fails regulatory scrutiny cannot be legally deployed.</w:t>
            </w:r>
          </w:p>
        </w:tc>
      </w:tr>
    </w:tbl>
    <w:p w14:paraId="1D5196E9" w14:textId="77777777" w:rsidR="00627D5C" w:rsidRDefault="00000000">
      <w:r>
        <w:rPr>
          <w:b/>
          <w:sz w:val="22"/>
        </w:rPr>
        <w:t>Q2. Which of Schar's five layers does a compliance question usually attach to, and why?</w:t>
      </w:r>
    </w:p>
    <w:tbl>
      <w:tblPr>
        <w:tblW w:w="0" w:type="auto"/>
        <w:tblLook w:val="04A0" w:firstRow="1" w:lastRow="0" w:firstColumn="1" w:lastColumn="0" w:noHBand="0" w:noVBand="1"/>
      </w:tblPr>
      <w:tblGrid>
        <w:gridCol w:w="9350"/>
      </w:tblGrid>
      <w:tr w:rsidR="00627D5C" w14:paraId="3C10EFB9" w14:textId="77777777" w:rsidTr="00BB0BFC">
        <w:tc>
          <w:tcPr>
            <w:tcW w:w="9350" w:type="dxa"/>
            <w:tcBorders>
              <w:top w:val="single" w:sz="4" w:space="0" w:color="BFBFBF"/>
              <w:left w:val="single" w:sz="4" w:space="0" w:color="BFBFBF"/>
              <w:bottom w:val="single" w:sz="4" w:space="0" w:color="BFBFBF"/>
              <w:right w:val="single" w:sz="4" w:space="0" w:color="BFBFBF"/>
            </w:tcBorders>
          </w:tcPr>
          <w:p w14:paraId="5E1739CA" w14:textId="189A1A0F" w:rsidR="00627D5C" w:rsidRDefault="009947BF" w:rsidP="009947BF">
            <w:r w:rsidRPr="009947BF">
              <w:t>A compliance question usually attaches to the settlement layer (Layer 1) and the asset layer (Layer 2) within Schär’s framework because these two base tiers establish the legal foundation of the entire system. The settlement layer determines the consensus rules, jurisdictional oversight, and validator accountability of the underlying ledger, while the asset layer defines the legal ownership rights and regulatory classification of the issued tokens. Regulators focus primarily on these foundational layers because if the base ledger and token structure fail anti-money laundering or custody rules, no application built above them can be compliant.</w:t>
            </w:r>
          </w:p>
        </w:tc>
      </w:tr>
    </w:tbl>
    <w:p w14:paraId="79AFE320" w14:textId="77777777" w:rsidR="00627D5C" w:rsidRDefault="00000000">
      <w:r>
        <w:rPr>
          <w:b/>
          <w:sz w:val="22"/>
        </w:rPr>
        <w:t>Q3. For a Bahraini dinar (BHD)-Pakistani rupee (PKR) remittance, which chain would you shortlist and why?</w:t>
      </w:r>
    </w:p>
    <w:tbl>
      <w:tblPr>
        <w:tblW w:w="0" w:type="auto"/>
        <w:tblLook w:val="04A0" w:firstRow="1" w:lastRow="0" w:firstColumn="1" w:lastColumn="0" w:noHBand="0" w:noVBand="1"/>
      </w:tblPr>
      <w:tblGrid>
        <w:gridCol w:w="9350"/>
      </w:tblGrid>
      <w:tr w:rsidR="00627D5C" w14:paraId="57251462" w14:textId="77777777" w:rsidTr="00BB0BFC">
        <w:tc>
          <w:tcPr>
            <w:tcW w:w="9350" w:type="dxa"/>
            <w:tcBorders>
              <w:top w:val="single" w:sz="4" w:space="0" w:color="BFBFBF"/>
              <w:left w:val="single" w:sz="4" w:space="0" w:color="BFBFBF"/>
              <w:bottom w:val="single" w:sz="4" w:space="0" w:color="BFBFBF"/>
              <w:right w:val="single" w:sz="4" w:space="0" w:color="BFBFBF"/>
            </w:tcBorders>
          </w:tcPr>
          <w:p w14:paraId="6BA940BA" w14:textId="5B0BA698" w:rsidR="00627D5C" w:rsidRDefault="009947BF" w:rsidP="009947BF">
            <w:r w:rsidRPr="009947BF">
              <w:t>For a Bahraini dinar (BHD) to Pakistani rupee (PKR) remittance corridor, an Ethereum Layer 2 (L2) rollup should be shortlisted because retail workers sending money home require near-instant transfer speed and minimal transaction fees. By bundling transactions off-chain, an L2 rollup cuts payment fees to pennies and settles within seconds, preventing exchange rate volatility from eroding the value sent to families. Furthermore, settling back onto Ethereum Layer 1 provides institutional-grade finality and security, ensuring that cross-border payments cannot be reversed or lost.</w:t>
            </w:r>
          </w:p>
        </w:tc>
      </w:tr>
    </w:tbl>
    <w:p w14:paraId="7BE25589" w14:textId="77777777" w:rsidR="00627D5C" w:rsidRDefault="00000000">
      <w:pPr>
        <w:spacing w:before="200" w:after="80"/>
      </w:pPr>
      <w:r>
        <w:rPr>
          <w:b/>
          <w:color w:val="1F4E79"/>
          <w:sz w:val="26"/>
        </w:rPr>
        <w:t>Task 2 - Apply it (individual build task)</w:t>
      </w:r>
    </w:p>
    <w:p w14:paraId="34F85976" w14:textId="77777777" w:rsidR="00627D5C" w:rsidRDefault="00000000">
      <w:r>
        <w:rPr>
          <w:i/>
          <w:sz w:val="22"/>
        </w:rPr>
        <w:t>Now use the ideas from Task 1 to do this, in your own words:</w:t>
      </w:r>
    </w:p>
    <w:p w14:paraId="368CE4E6" w14:textId="77777777" w:rsidR="00627D5C" w:rsidRDefault="00000000">
      <w:r>
        <w:rPr>
          <w:b/>
          <w:sz w:val="22"/>
        </w:rPr>
        <w:lastRenderedPageBreak/>
        <w:t>Complete the five-criterion grid below for ONE chain of your choice (Ethereum + layer 2 (L2), Hyperledger Fabric, Solana or Corda), one line per criterion.</w:t>
      </w:r>
    </w:p>
    <w:p w14:paraId="56362E02" w14:textId="77777777" w:rsidR="00627D5C" w:rsidRDefault="00000000">
      <w:r>
        <w:rPr>
          <w:i/>
          <w:sz w:val="20"/>
        </w:rPr>
        <w:t>Expected: all five rows of the grid completed, one line each.</w:t>
      </w:r>
    </w:p>
    <w:tbl>
      <w:tblPr>
        <w:tblW w:w="0" w:type="auto"/>
        <w:tblLook w:val="04A0" w:firstRow="1" w:lastRow="0" w:firstColumn="1" w:lastColumn="0" w:noHBand="0" w:noVBand="1"/>
      </w:tblPr>
      <w:tblGrid>
        <w:gridCol w:w="2841"/>
        <w:gridCol w:w="6509"/>
      </w:tblGrid>
      <w:tr w:rsidR="00627D5C" w14:paraId="5BF9E5E4" w14:textId="77777777" w:rsidTr="00BB0BFC">
        <w:tc>
          <w:tcPr>
            <w:tcW w:w="2841" w:type="dxa"/>
            <w:tcBorders>
              <w:top w:val="single" w:sz="4" w:space="0" w:color="BFBFBF"/>
              <w:left w:val="single" w:sz="4" w:space="0" w:color="BFBFBF"/>
              <w:bottom w:val="single" w:sz="4" w:space="0" w:color="BFBFBF"/>
              <w:right w:val="single" w:sz="4" w:space="0" w:color="BFBFBF"/>
            </w:tcBorders>
            <w:shd w:val="clear" w:color="auto" w:fill="1F4E79"/>
          </w:tcPr>
          <w:p w14:paraId="778FF67D" w14:textId="77777777" w:rsidR="00627D5C" w:rsidRDefault="00000000">
            <w:r>
              <w:rPr>
                <w:b/>
                <w:color w:val="FFFFFF"/>
                <w:sz w:val="18"/>
              </w:rPr>
              <w:t>Criterion</w:t>
            </w:r>
          </w:p>
        </w:tc>
        <w:tc>
          <w:tcPr>
            <w:tcW w:w="6509" w:type="dxa"/>
            <w:tcBorders>
              <w:top w:val="single" w:sz="4" w:space="0" w:color="BFBFBF"/>
              <w:left w:val="single" w:sz="4" w:space="0" w:color="BFBFBF"/>
              <w:bottom w:val="single" w:sz="4" w:space="0" w:color="BFBFBF"/>
              <w:right w:val="single" w:sz="4" w:space="0" w:color="BFBFBF"/>
            </w:tcBorders>
            <w:shd w:val="clear" w:color="auto" w:fill="1F4E79"/>
          </w:tcPr>
          <w:p w14:paraId="68F00B99" w14:textId="77777777" w:rsidR="00627D5C" w:rsidRDefault="00000000">
            <w:r>
              <w:rPr>
                <w:b/>
                <w:color w:val="FFFFFF"/>
                <w:sz w:val="18"/>
              </w:rPr>
              <w:t>Your assessment for your chosen chain</w:t>
            </w:r>
          </w:p>
        </w:tc>
      </w:tr>
      <w:tr w:rsidR="00627D5C" w14:paraId="494A10DF" w14:textId="77777777" w:rsidTr="00BB0BFC">
        <w:tc>
          <w:tcPr>
            <w:tcW w:w="2841" w:type="dxa"/>
            <w:tcBorders>
              <w:top w:val="single" w:sz="4" w:space="0" w:color="BFBFBF"/>
              <w:left w:val="single" w:sz="4" w:space="0" w:color="BFBFBF"/>
              <w:bottom w:val="single" w:sz="4" w:space="0" w:color="BFBFBF"/>
              <w:right w:val="single" w:sz="4" w:space="0" w:color="BFBFBF"/>
            </w:tcBorders>
          </w:tcPr>
          <w:p w14:paraId="1CF53898" w14:textId="77777777" w:rsidR="00627D5C" w:rsidRDefault="00000000">
            <w:r>
              <w:rPr>
                <w:b/>
                <w:sz w:val="18"/>
              </w:rPr>
              <w:t>Throughput</w:t>
            </w:r>
          </w:p>
        </w:tc>
        <w:tc>
          <w:tcPr>
            <w:tcW w:w="6509" w:type="dxa"/>
            <w:tcBorders>
              <w:top w:val="single" w:sz="4" w:space="0" w:color="BFBFBF"/>
              <w:left w:val="single" w:sz="4" w:space="0" w:color="BFBFBF"/>
              <w:bottom w:val="single" w:sz="4" w:space="0" w:color="BFBFBF"/>
              <w:right w:val="single" w:sz="4" w:space="0" w:color="BFBFBF"/>
            </w:tcBorders>
          </w:tcPr>
          <w:p w14:paraId="0688CDC1" w14:textId="53E0194B" w:rsidR="00627D5C" w:rsidRDefault="009947BF" w:rsidP="009947BF">
            <w:r w:rsidRPr="009947BF">
              <w:t>Achieves high throughput of 2,000 to 4,000 transactions per second by executing batches off-chain and posting compressed transaction data to Ethereum Layer 1.</w:t>
            </w:r>
          </w:p>
        </w:tc>
      </w:tr>
      <w:tr w:rsidR="00627D5C" w14:paraId="2C9669AA" w14:textId="77777777" w:rsidTr="00BB0BFC">
        <w:tc>
          <w:tcPr>
            <w:tcW w:w="2841" w:type="dxa"/>
            <w:tcBorders>
              <w:top w:val="single" w:sz="4" w:space="0" w:color="BFBFBF"/>
              <w:left w:val="single" w:sz="4" w:space="0" w:color="BFBFBF"/>
              <w:bottom w:val="single" w:sz="4" w:space="0" w:color="BFBFBF"/>
              <w:right w:val="single" w:sz="4" w:space="0" w:color="BFBFBF"/>
            </w:tcBorders>
            <w:shd w:val="clear" w:color="auto" w:fill="F2F2F2"/>
          </w:tcPr>
          <w:p w14:paraId="397617D9" w14:textId="77777777" w:rsidR="00627D5C" w:rsidRDefault="00000000">
            <w:r>
              <w:rPr>
                <w:b/>
                <w:sz w:val="18"/>
              </w:rPr>
              <w:t>Finality</w:t>
            </w:r>
          </w:p>
        </w:tc>
        <w:tc>
          <w:tcPr>
            <w:tcW w:w="6509" w:type="dxa"/>
            <w:tcBorders>
              <w:top w:val="single" w:sz="4" w:space="0" w:color="BFBFBF"/>
              <w:left w:val="single" w:sz="4" w:space="0" w:color="BFBFBF"/>
              <w:bottom w:val="single" w:sz="4" w:space="0" w:color="BFBFBF"/>
              <w:right w:val="single" w:sz="4" w:space="0" w:color="BFBFBF"/>
            </w:tcBorders>
            <w:shd w:val="clear" w:color="auto" w:fill="F2F2F2"/>
          </w:tcPr>
          <w:p w14:paraId="027DBBB3" w14:textId="02893C1E" w:rsidR="00627D5C" w:rsidRDefault="009947BF" w:rsidP="009947BF">
            <w:r w:rsidRPr="009947BF">
              <w:t>Delivers near-instant soft confirmation via the L2 sequencer within milliseconds, backed by deterministic mathematical settlement once state roots settle to Ethereum L1.</w:t>
            </w:r>
          </w:p>
        </w:tc>
      </w:tr>
      <w:tr w:rsidR="00627D5C" w14:paraId="20964762" w14:textId="77777777" w:rsidTr="00BB0BFC">
        <w:tc>
          <w:tcPr>
            <w:tcW w:w="2841" w:type="dxa"/>
            <w:tcBorders>
              <w:top w:val="single" w:sz="4" w:space="0" w:color="BFBFBF"/>
              <w:left w:val="single" w:sz="4" w:space="0" w:color="BFBFBF"/>
              <w:bottom w:val="single" w:sz="4" w:space="0" w:color="BFBFBF"/>
              <w:right w:val="single" w:sz="4" w:space="0" w:color="BFBFBF"/>
            </w:tcBorders>
          </w:tcPr>
          <w:p w14:paraId="21607BF9" w14:textId="77777777" w:rsidR="00627D5C" w:rsidRDefault="00000000">
            <w:r>
              <w:rPr>
                <w:b/>
                <w:sz w:val="18"/>
              </w:rPr>
              <w:t>Governance</w:t>
            </w:r>
          </w:p>
        </w:tc>
        <w:tc>
          <w:tcPr>
            <w:tcW w:w="6509" w:type="dxa"/>
            <w:tcBorders>
              <w:top w:val="single" w:sz="4" w:space="0" w:color="BFBFBF"/>
              <w:left w:val="single" w:sz="4" w:space="0" w:color="BFBFBF"/>
              <w:bottom w:val="single" w:sz="4" w:space="0" w:color="BFBFBF"/>
              <w:right w:val="single" w:sz="4" w:space="0" w:color="BFBFBF"/>
            </w:tcBorders>
          </w:tcPr>
          <w:p w14:paraId="0D80C871" w14:textId="24BF0E45" w:rsidR="00627D5C" w:rsidRDefault="009947BF" w:rsidP="009947BF">
            <w:r w:rsidRPr="009947BF">
              <w:t>Operates under decentralized developer-led community improvement proposals on L1, while individual L2 networks are governed by foundation multisigs or token DAOs.</w:t>
            </w:r>
          </w:p>
        </w:tc>
      </w:tr>
      <w:tr w:rsidR="00627D5C" w14:paraId="1A15FFB9" w14:textId="77777777" w:rsidTr="00BB0BFC">
        <w:tc>
          <w:tcPr>
            <w:tcW w:w="2841" w:type="dxa"/>
            <w:tcBorders>
              <w:top w:val="single" w:sz="4" w:space="0" w:color="BFBFBF"/>
              <w:left w:val="single" w:sz="4" w:space="0" w:color="BFBFBF"/>
              <w:bottom w:val="single" w:sz="4" w:space="0" w:color="BFBFBF"/>
              <w:right w:val="single" w:sz="4" w:space="0" w:color="BFBFBF"/>
            </w:tcBorders>
            <w:shd w:val="clear" w:color="auto" w:fill="F2F2F2"/>
          </w:tcPr>
          <w:p w14:paraId="403D3426" w14:textId="77777777" w:rsidR="00627D5C" w:rsidRDefault="00000000">
            <w:r>
              <w:rPr>
                <w:b/>
                <w:sz w:val="18"/>
              </w:rPr>
              <w:t>Cost</w:t>
            </w:r>
          </w:p>
        </w:tc>
        <w:tc>
          <w:tcPr>
            <w:tcW w:w="6509" w:type="dxa"/>
            <w:tcBorders>
              <w:top w:val="single" w:sz="4" w:space="0" w:color="BFBFBF"/>
              <w:left w:val="single" w:sz="4" w:space="0" w:color="BFBFBF"/>
              <w:bottom w:val="single" w:sz="4" w:space="0" w:color="BFBFBF"/>
              <w:right w:val="single" w:sz="4" w:space="0" w:color="BFBFBF"/>
            </w:tcBorders>
            <w:shd w:val="clear" w:color="auto" w:fill="F2F2F2"/>
          </w:tcPr>
          <w:p w14:paraId="07065C77" w14:textId="07759B43" w:rsidR="00627D5C" w:rsidRDefault="009947BF" w:rsidP="009947BF">
            <w:r w:rsidRPr="009947BF">
              <w:t>Offers sub-cent transaction fees due to batched data compression and Ethereum's dedicated blob space, lowering costs by over 95% compared to base Layer 1.</w:t>
            </w:r>
          </w:p>
        </w:tc>
      </w:tr>
      <w:tr w:rsidR="00627D5C" w14:paraId="11C978F2" w14:textId="77777777" w:rsidTr="00BB0BFC">
        <w:tc>
          <w:tcPr>
            <w:tcW w:w="2841" w:type="dxa"/>
            <w:tcBorders>
              <w:top w:val="single" w:sz="4" w:space="0" w:color="BFBFBF"/>
              <w:left w:val="single" w:sz="4" w:space="0" w:color="BFBFBF"/>
              <w:bottom w:val="single" w:sz="4" w:space="0" w:color="BFBFBF"/>
              <w:right w:val="single" w:sz="4" w:space="0" w:color="BFBFBF"/>
            </w:tcBorders>
          </w:tcPr>
          <w:p w14:paraId="5900226A" w14:textId="77777777" w:rsidR="00627D5C" w:rsidRDefault="00000000">
            <w:r>
              <w:rPr>
                <w:b/>
                <w:sz w:val="18"/>
              </w:rPr>
              <w:t>Regulatory profile</w:t>
            </w:r>
          </w:p>
        </w:tc>
        <w:tc>
          <w:tcPr>
            <w:tcW w:w="6509" w:type="dxa"/>
            <w:tcBorders>
              <w:top w:val="single" w:sz="4" w:space="0" w:color="BFBFBF"/>
              <w:left w:val="single" w:sz="4" w:space="0" w:color="BFBFBF"/>
              <w:bottom w:val="single" w:sz="4" w:space="0" w:color="BFBFBF"/>
              <w:right w:val="single" w:sz="4" w:space="0" w:color="BFBFBF"/>
            </w:tcBorders>
          </w:tcPr>
          <w:p w14:paraId="75351DE9" w14:textId="4BA4C1F2" w:rsidR="00627D5C" w:rsidRDefault="009947BF" w:rsidP="009947BF">
            <w:r w:rsidRPr="009947BF">
              <w:t>Runs on permissionless public rails with anonymous validators, requiring licensed entities to implement off-chain KYC and identity verification to satisfy supervisors.</w:t>
            </w:r>
          </w:p>
        </w:tc>
      </w:tr>
    </w:tbl>
    <w:p w14:paraId="05A6B6FA" w14:textId="77777777" w:rsidR="00627D5C" w:rsidRDefault="00000000">
      <w:pPr>
        <w:spacing w:before="200" w:after="80"/>
      </w:pPr>
      <w:r>
        <w:rPr>
          <w:b/>
          <w:color w:val="1F4E79"/>
          <w:sz w:val="26"/>
        </w:rPr>
        <w:t>Task 3 - Group activity (your own write-up)</w:t>
      </w:r>
    </w:p>
    <w:p w14:paraId="67C654BC" w14:textId="77777777" w:rsidR="00627D5C" w:rsidRDefault="00000000">
      <w:r>
        <w:rPr>
          <w:b/>
          <w:sz w:val="22"/>
        </w:rPr>
        <w:t>Match use cases to chains.</w:t>
      </w:r>
    </w:p>
    <w:p w14:paraId="3EAD9578" w14:textId="77777777" w:rsidR="00627D5C" w:rsidRDefault="00000000">
      <w:r>
        <w:rPr>
          <w:i/>
          <w:sz w:val="22"/>
        </w:rPr>
        <w:t>In groups, match three use cases to fit-for-purpose chains on the five criteria; each records their own matched grid and defence.</w:t>
      </w:r>
    </w:p>
    <w:p w14:paraId="244BF6CF" w14:textId="77777777" w:rsidR="00627D5C" w:rsidRDefault="00000000">
      <w:pPr>
        <w:spacing w:after="40"/>
        <w:ind w:left="432" w:hanging="216"/>
      </w:pPr>
      <w:r>
        <w:rPr>
          <w:sz w:val="22"/>
        </w:rPr>
        <w:t>•  small and medium-sized enterprise (SME) trade-finance escrow (Bahrain).</w:t>
      </w:r>
    </w:p>
    <w:p w14:paraId="1148315A" w14:textId="77777777" w:rsidR="00627D5C" w:rsidRDefault="00000000">
      <w:pPr>
        <w:spacing w:after="40"/>
        <w:ind w:left="432" w:hanging="216"/>
      </w:pPr>
      <w:r>
        <w:rPr>
          <w:sz w:val="22"/>
        </w:rPr>
        <w:t>•  A consumer money-transfer route from Bahraini dinar to Pakistani rupee.</w:t>
      </w:r>
    </w:p>
    <w:p w14:paraId="199A0E7B" w14:textId="77777777" w:rsidR="00627D5C" w:rsidRDefault="00000000">
      <w:pPr>
        <w:spacing w:after="40"/>
        <w:ind w:left="432" w:hanging="216"/>
      </w:pPr>
      <w:r>
        <w:rPr>
          <w:sz w:val="22"/>
        </w:rPr>
        <w:t>•  Carbon-credit registry for a regional energy firm.</w:t>
      </w:r>
    </w:p>
    <w:p w14:paraId="462A54C8" w14:textId="77777777" w:rsidR="00627D5C" w:rsidRDefault="00000000">
      <w:pPr>
        <w:spacing w:after="40"/>
        <w:ind w:left="432" w:hanging="216"/>
      </w:pPr>
      <w:r>
        <w:rPr>
          <w:sz w:val="22"/>
        </w:rPr>
        <w:t>•  For each, name the criterion that decided the match.</w:t>
      </w:r>
    </w:p>
    <w:tbl>
      <w:tblPr>
        <w:tblW w:w="0" w:type="auto"/>
        <w:tblLook w:val="04A0" w:firstRow="1" w:lastRow="0" w:firstColumn="1" w:lastColumn="0" w:noHBand="0" w:noVBand="1"/>
      </w:tblPr>
      <w:tblGrid>
        <w:gridCol w:w="2838"/>
        <w:gridCol w:w="2168"/>
        <w:gridCol w:w="2175"/>
        <w:gridCol w:w="2169"/>
      </w:tblGrid>
      <w:tr w:rsidR="00627D5C" w14:paraId="7125E538" w14:textId="77777777" w:rsidTr="00BB0BFC">
        <w:tc>
          <w:tcPr>
            <w:tcW w:w="2838" w:type="dxa"/>
            <w:tcBorders>
              <w:top w:val="single" w:sz="4" w:space="0" w:color="BFBFBF"/>
              <w:left w:val="single" w:sz="4" w:space="0" w:color="BFBFBF"/>
              <w:bottom w:val="single" w:sz="4" w:space="0" w:color="BFBFBF"/>
              <w:right w:val="single" w:sz="4" w:space="0" w:color="BFBFBF"/>
            </w:tcBorders>
            <w:shd w:val="clear" w:color="auto" w:fill="1F4E79"/>
          </w:tcPr>
          <w:p w14:paraId="61035D2A" w14:textId="77777777" w:rsidR="00627D5C" w:rsidRDefault="00000000">
            <w:r>
              <w:rPr>
                <w:b/>
                <w:color w:val="FFFFFF"/>
                <w:sz w:val="18"/>
              </w:rPr>
              <w:t>Criterion</w:t>
            </w:r>
          </w:p>
        </w:tc>
        <w:tc>
          <w:tcPr>
            <w:tcW w:w="2168" w:type="dxa"/>
            <w:tcBorders>
              <w:top w:val="single" w:sz="4" w:space="0" w:color="BFBFBF"/>
              <w:left w:val="single" w:sz="4" w:space="0" w:color="BFBFBF"/>
              <w:bottom w:val="single" w:sz="4" w:space="0" w:color="BFBFBF"/>
              <w:right w:val="single" w:sz="4" w:space="0" w:color="BFBFBF"/>
            </w:tcBorders>
            <w:shd w:val="clear" w:color="auto" w:fill="1F4E79"/>
          </w:tcPr>
          <w:p w14:paraId="5919EC4C" w14:textId="77777777" w:rsidR="00627D5C" w:rsidRDefault="00000000">
            <w:r>
              <w:rPr>
                <w:b/>
                <w:color w:val="FFFFFF"/>
                <w:sz w:val="18"/>
              </w:rPr>
              <w:t>SME trade-finance escrow</w:t>
            </w:r>
          </w:p>
        </w:tc>
        <w:tc>
          <w:tcPr>
            <w:tcW w:w="2175" w:type="dxa"/>
            <w:tcBorders>
              <w:top w:val="single" w:sz="4" w:space="0" w:color="BFBFBF"/>
              <w:left w:val="single" w:sz="4" w:space="0" w:color="BFBFBF"/>
              <w:bottom w:val="single" w:sz="4" w:space="0" w:color="BFBFBF"/>
              <w:right w:val="single" w:sz="4" w:space="0" w:color="BFBFBF"/>
            </w:tcBorders>
            <w:shd w:val="clear" w:color="auto" w:fill="1F4E79"/>
          </w:tcPr>
          <w:p w14:paraId="528B09DB" w14:textId="77777777" w:rsidR="00627D5C" w:rsidRDefault="00000000">
            <w:r>
              <w:rPr>
                <w:b/>
                <w:color w:val="FFFFFF"/>
                <w:sz w:val="18"/>
              </w:rPr>
              <w:t>BHD-PKR remittance</w:t>
            </w:r>
          </w:p>
        </w:tc>
        <w:tc>
          <w:tcPr>
            <w:tcW w:w="2169" w:type="dxa"/>
            <w:tcBorders>
              <w:top w:val="single" w:sz="4" w:space="0" w:color="BFBFBF"/>
              <w:left w:val="single" w:sz="4" w:space="0" w:color="BFBFBF"/>
              <w:bottom w:val="single" w:sz="4" w:space="0" w:color="BFBFBF"/>
              <w:right w:val="single" w:sz="4" w:space="0" w:color="BFBFBF"/>
            </w:tcBorders>
            <w:shd w:val="clear" w:color="auto" w:fill="1F4E79"/>
          </w:tcPr>
          <w:p w14:paraId="3B060621" w14:textId="77777777" w:rsidR="00627D5C" w:rsidRDefault="00000000">
            <w:r>
              <w:rPr>
                <w:b/>
                <w:color w:val="FFFFFF"/>
                <w:sz w:val="18"/>
              </w:rPr>
              <w:t>Carbon-credit registry</w:t>
            </w:r>
          </w:p>
        </w:tc>
      </w:tr>
      <w:tr w:rsidR="00BB0BFC" w14:paraId="60865F33" w14:textId="77777777" w:rsidTr="00BB0BFC">
        <w:tc>
          <w:tcPr>
            <w:tcW w:w="2838" w:type="dxa"/>
            <w:tcBorders>
              <w:top w:val="single" w:sz="4" w:space="0" w:color="BFBFBF"/>
              <w:left w:val="single" w:sz="4" w:space="0" w:color="BFBFBF"/>
              <w:bottom w:val="single" w:sz="4" w:space="0" w:color="BFBFBF"/>
              <w:right w:val="single" w:sz="4" w:space="0" w:color="BFBFBF"/>
            </w:tcBorders>
          </w:tcPr>
          <w:p w14:paraId="55D78F40" w14:textId="77777777" w:rsidR="00BB0BFC" w:rsidRDefault="00BB0BFC" w:rsidP="00BB0BFC">
            <w:r>
              <w:rPr>
                <w:b/>
                <w:sz w:val="18"/>
              </w:rPr>
              <w:t>Throughput</w:t>
            </w:r>
          </w:p>
        </w:tc>
        <w:tc>
          <w:tcPr>
            <w:tcW w:w="2168" w:type="dxa"/>
            <w:tcBorders>
              <w:top w:val="single" w:sz="4" w:space="0" w:color="BFBFBF"/>
              <w:left w:val="single" w:sz="4" w:space="0" w:color="BFBFBF"/>
              <w:bottom w:val="single" w:sz="4" w:space="0" w:color="BFBFBF"/>
              <w:right w:val="single" w:sz="4" w:space="0" w:color="BFBFBF"/>
            </w:tcBorders>
          </w:tcPr>
          <w:p w14:paraId="499F7878" w14:textId="3E1ECDC8" w:rsidR="00BB0BFC" w:rsidRDefault="009947BF" w:rsidP="009947BF">
            <w:r w:rsidRPr="009947BF">
              <w:t xml:space="preserve">Moderate (100–500 TPS); </w:t>
            </w:r>
            <w:r w:rsidRPr="009947BF">
              <w:lastRenderedPageBreak/>
              <w:t>sufficient for bilateral SME bank settlement batches without requiring public scale</w:t>
            </w:r>
            <w:r>
              <w:t>.</w:t>
            </w:r>
          </w:p>
        </w:tc>
        <w:tc>
          <w:tcPr>
            <w:tcW w:w="2175" w:type="dxa"/>
            <w:tcBorders>
              <w:top w:val="single" w:sz="4" w:space="0" w:color="BFBFBF"/>
              <w:left w:val="single" w:sz="4" w:space="0" w:color="BFBFBF"/>
              <w:bottom w:val="single" w:sz="4" w:space="0" w:color="BFBFBF"/>
              <w:right w:val="single" w:sz="4" w:space="0" w:color="BFBFBF"/>
            </w:tcBorders>
          </w:tcPr>
          <w:p w14:paraId="05DD74DB" w14:textId="5736F892" w:rsidR="00BB0BFC" w:rsidRDefault="009947BF" w:rsidP="009947BF">
            <w:r w:rsidRPr="009947BF">
              <w:lastRenderedPageBreak/>
              <w:t xml:space="preserve">Very high (2,000+ TPS); essential to </w:t>
            </w:r>
            <w:r w:rsidRPr="009947BF">
              <w:lastRenderedPageBreak/>
              <w:t>process high-frequency consumer retail remittance transfers without network congestion</w:t>
            </w:r>
            <w:r>
              <w:t>.</w:t>
            </w:r>
          </w:p>
        </w:tc>
        <w:tc>
          <w:tcPr>
            <w:tcW w:w="2169" w:type="dxa"/>
            <w:tcBorders>
              <w:top w:val="single" w:sz="4" w:space="0" w:color="BFBFBF"/>
              <w:left w:val="single" w:sz="4" w:space="0" w:color="BFBFBF"/>
              <w:bottom w:val="single" w:sz="4" w:space="0" w:color="BFBFBF"/>
              <w:right w:val="single" w:sz="4" w:space="0" w:color="BFBFBF"/>
            </w:tcBorders>
          </w:tcPr>
          <w:p w14:paraId="1BD8A032" w14:textId="1B08DD4F" w:rsidR="00BB0BFC" w:rsidRDefault="009947BF" w:rsidP="009947BF">
            <w:r w:rsidRPr="009947BF">
              <w:lastRenderedPageBreak/>
              <w:t xml:space="preserve">Low to moderate (50–200 TPS); </w:t>
            </w:r>
            <w:r w:rsidRPr="009947BF">
              <w:lastRenderedPageBreak/>
              <w:t>carbon credits are minted, traded, and retired in periodic corporate batches</w:t>
            </w:r>
            <w:r>
              <w:t>.</w:t>
            </w:r>
          </w:p>
        </w:tc>
      </w:tr>
      <w:tr w:rsidR="00BB0BFC" w14:paraId="2F6F47E6" w14:textId="77777777" w:rsidTr="00BB0BFC">
        <w:tc>
          <w:tcPr>
            <w:tcW w:w="2838" w:type="dxa"/>
            <w:tcBorders>
              <w:top w:val="single" w:sz="4" w:space="0" w:color="BFBFBF"/>
              <w:left w:val="single" w:sz="4" w:space="0" w:color="BFBFBF"/>
              <w:bottom w:val="single" w:sz="4" w:space="0" w:color="BFBFBF"/>
              <w:right w:val="single" w:sz="4" w:space="0" w:color="BFBFBF"/>
            </w:tcBorders>
            <w:shd w:val="clear" w:color="auto" w:fill="F2F2F2"/>
          </w:tcPr>
          <w:p w14:paraId="1DFF1AD8" w14:textId="77777777" w:rsidR="00BB0BFC" w:rsidRDefault="00BB0BFC" w:rsidP="00BB0BFC">
            <w:r>
              <w:rPr>
                <w:b/>
                <w:sz w:val="18"/>
              </w:rPr>
              <w:lastRenderedPageBreak/>
              <w:t>Finality</w:t>
            </w:r>
          </w:p>
        </w:tc>
        <w:tc>
          <w:tcPr>
            <w:tcW w:w="2168" w:type="dxa"/>
            <w:tcBorders>
              <w:top w:val="single" w:sz="4" w:space="0" w:color="BFBFBF"/>
              <w:left w:val="single" w:sz="4" w:space="0" w:color="BFBFBF"/>
              <w:bottom w:val="single" w:sz="4" w:space="0" w:color="BFBFBF"/>
              <w:right w:val="single" w:sz="4" w:space="0" w:color="BFBFBF"/>
            </w:tcBorders>
            <w:shd w:val="clear" w:color="auto" w:fill="F2F2F2"/>
          </w:tcPr>
          <w:p w14:paraId="5EB598D9" w14:textId="723A160E" w:rsidR="00BB0BFC" w:rsidRDefault="009947BF" w:rsidP="009947BF">
            <w:r w:rsidRPr="009947BF">
              <w:t>Deterministic and immediate; Byzantine Fault Tolerant consensus ensures payments settle without risk of ledger forks.</w:t>
            </w:r>
          </w:p>
        </w:tc>
        <w:tc>
          <w:tcPr>
            <w:tcW w:w="2175" w:type="dxa"/>
            <w:tcBorders>
              <w:top w:val="single" w:sz="4" w:space="0" w:color="BFBFBF"/>
              <w:left w:val="single" w:sz="4" w:space="0" w:color="BFBFBF"/>
              <w:bottom w:val="single" w:sz="4" w:space="0" w:color="BFBFBF"/>
              <w:right w:val="single" w:sz="4" w:space="0" w:color="BFBFBF"/>
            </w:tcBorders>
            <w:shd w:val="clear" w:color="auto" w:fill="F2F2F2"/>
          </w:tcPr>
          <w:p w14:paraId="77B5A880" w14:textId="2BEFECA8" w:rsidR="00BB0BFC" w:rsidRDefault="009947BF" w:rsidP="009947BF">
            <w:r w:rsidRPr="009947BF">
              <w:t>Near-instant soft execution on L2; final economic settlement anchors to Ethereum Layer 1 within minutes</w:t>
            </w:r>
            <w:r>
              <w:t>.</w:t>
            </w:r>
          </w:p>
        </w:tc>
        <w:tc>
          <w:tcPr>
            <w:tcW w:w="2169" w:type="dxa"/>
            <w:tcBorders>
              <w:top w:val="single" w:sz="4" w:space="0" w:color="BFBFBF"/>
              <w:left w:val="single" w:sz="4" w:space="0" w:color="BFBFBF"/>
              <w:bottom w:val="single" w:sz="4" w:space="0" w:color="BFBFBF"/>
              <w:right w:val="single" w:sz="4" w:space="0" w:color="BFBFBF"/>
            </w:tcBorders>
            <w:shd w:val="clear" w:color="auto" w:fill="F2F2F2"/>
          </w:tcPr>
          <w:p w14:paraId="0F0E3761" w14:textId="1A3EFD1B" w:rsidR="00BB0BFC" w:rsidRDefault="009947BF" w:rsidP="009947BF">
            <w:r w:rsidRPr="009947BF">
              <w:t>Immediate and legally deterministic; point-to-point notary consensus ensures definitive title transfer with zero fork risk.</w:t>
            </w:r>
          </w:p>
        </w:tc>
      </w:tr>
      <w:tr w:rsidR="00BB0BFC" w14:paraId="5FE76149" w14:textId="77777777" w:rsidTr="00BB0BFC">
        <w:tc>
          <w:tcPr>
            <w:tcW w:w="2838" w:type="dxa"/>
            <w:tcBorders>
              <w:top w:val="single" w:sz="4" w:space="0" w:color="BFBFBF"/>
              <w:left w:val="single" w:sz="4" w:space="0" w:color="BFBFBF"/>
              <w:bottom w:val="single" w:sz="4" w:space="0" w:color="BFBFBF"/>
              <w:right w:val="single" w:sz="4" w:space="0" w:color="BFBFBF"/>
            </w:tcBorders>
          </w:tcPr>
          <w:p w14:paraId="5B261D37" w14:textId="77777777" w:rsidR="00BB0BFC" w:rsidRDefault="00BB0BFC" w:rsidP="00BB0BFC">
            <w:r>
              <w:rPr>
                <w:b/>
                <w:sz w:val="18"/>
              </w:rPr>
              <w:t>Governance</w:t>
            </w:r>
          </w:p>
        </w:tc>
        <w:tc>
          <w:tcPr>
            <w:tcW w:w="2168" w:type="dxa"/>
            <w:tcBorders>
              <w:top w:val="single" w:sz="4" w:space="0" w:color="BFBFBF"/>
              <w:left w:val="single" w:sz="4" w:space="0" w:color="BFBFBF"/>
              <w:bottom w:val="single" w:sz="4" w:space="0" w:color="BFBFBF"/>
              <w:right w:val="single" w:sz="4" w:space="0" w:color="BFBFBF"/>
            </w:tcBorders>
          </w:tcPr>
          <w:p w14:paraId="603BBEF0" w14:textId="02B35ED5" w:rsidR="00BB0BFC" w:rsidRDefault="009947BF" w:rsidP="009947BF">
            <w:r w:rsidRPr="009947BF">
              <w:t>Closed consortium governance; restricted exclusively to licensed commercial banks and CBB-approved financial entities.</w:t>
            </w:r>
          </w:p>
        </w:tc>
        <w:tc>
          <w:tcPr>
            <w:tcW w:w="2175" w:type="dxa"/>
            <w:tcBorders>
              <w:top w:val="single" w:sz="4" w:space="0" w:color="BFBFBF"/>
              <w:left w:val="single" w:sz="4" w:space="0" w:color="BFBFBF"/>
              <w:bottom w:val="single" w:sz="4" w:space="0" w:color="BFBFBF"/>
              <w:right w:val="single" w:sz="4" w:space="0" w:color="BFBFBF"/>
            </w:tcBorders>
          </w:tcPr>
          <w:p w14:paraId="6F18F5F8" w14:textId="31DD5BC7" w:rsidR="00BB0BFC" w:rsidRDefault="009947BF" w:rsidP="009947BF">
            <w:r w:rsidRPr="009947BF">
              <w:t>Decentralized public protocol governance; protocol rules updated via open community developer proposals</w:t>
            </w:r>
            <w:r>
              <w:t>.</w:t>
            </w:r>
          </w:p>
        </w:tc>
        <w:tc>
          <w:tcPr>
            <w:tcW w:w="2169" w:type="dxa"/>
            <w:tcBorders>
              <w:top w:val="single" w:sz="4" w:space="0" w:color="BFBFBF"/>
              <w:left w:val="single" w:sz="4" w:space="0" w:color="BFBFBF"/>
              <w:bottom w:val="single" w:sz="4" w:space="0" w:color="BFBFBF"/>
              <w:right w:val="single" w:sz="4" w:space="0" w:color="BFBFBF"/>
            </w:tcBorders>
          </w:tcPr>
          <w:p w14:paraId="2BA123CE" w14:textId="4360F069" w:rsidR="00BB0BFC" w:rsidRDefault="009947BF" w:rsidP="009947BF">
            <w:r w:rsidRPr="009947BF">
              <w:t>Accredited consortium governance; managed strictly by designated environmental regulators, auditors, and energy firms.</w:t>
            </w:r>
          </w:p>
        </w:tc>
      </w:tr>
      <w:tr w:rsidR="00BB0BFC" w14:paraId="24853621" w14:textId="77777777" w:rsidTr="00BB0BFC">
        <w:tc>
          <w:tcPr>
            <w:tcW w:w="2838" w:type="dxa"/>
            <w:tcBorders>
              <w:top w:val="single" w:sz="4" w:space="0" w:color="BFBFBF"/>
              <w:left w:val="single" w:sz="4" w:space="0" w:color="BFBFBF"/>
              <w:bottom w:val="single" w:sz="4" w:space="0" w:color="BFBFBF"/>
              <w:right w:val="single" w:sz="4" w:space="0" w:color="BFBFBF"/>
            </w:tcBorders>
            <w:shd w:val="clear" w:color="auto" w:fill="F2F2F2"/>
          </w:tcPr>
          <w:p w14:paraId="4A8C2A5A" w14:textId="77777777" w:rsidR="00BB0BFC" w:rsidRDefault="00BB0BFC" w:rsidP="00BB0BFC">
            <w:r>
              <w:rPr>
                <w:b/>
                <w:sz w:val="18"/>
              </w:rPr>
              <w:t>Cost</w:t>
            </w:r>
          </w:p>
        </w:tc>
        <w:tc>
          <w:tcPr>
            <w:tcW w:w="2168" w:type="dxa"/>
            <w:tcBorders>
              <w:top w:val="single" w:sz="4" w:space="0" w:color="BFBFBF"/>
              <w:left w:val="single" w:sz="4" w:space="0" w:color="BFBFBF"/>
              <w:bottom w:val="single" w:sz="4" w:space="0" w:color="BFBFBF"/>
              <w:right w:val="single" w:sz="4" w:space="0" w:color="BFBFBF"/>
            </w:tcBorders>
            <w:shd w:val="clear" w:color="auto" w:fill="F2F2F2"/>
          </w:tcPr>
          <w:p w14:paraId="7E4189B2" w14:textId="1B223F60" w:rsidR="00BB0BFC" w:rsidRDefault="009947BF" w:rsidP="009947BF">
            <w:r w:rsidRPr="009947BF">
              <w:t>Predictable enterprise infrastructure cost; internal network operating expenses with zero per-transaction token gas fees.</w:t>
            </w:r>
          </w:p>
        </w:tc>
        <w:tc>
          <w:tcPr>
            <w:tcW w:w="2175" w:type="dxa"/>
            <w:tcBorders>
              <w:top w:val="single" w:sz="4" w:space="0" w:color="BFBFBF"/>
              <w:left w:val="single" w:sz="4" w:space="0" w:color="BFBFBF"/>
              <w:bottom w:val="single" w:sz="4" w:space="0" w:color="BFBFBF"/>
              <w:right w:val="single" w:sz="4" w:space="0" w:color="BFBFBF"/>
            </w:tcBorders>
            <w:shd w:val="clear" w:color="auto" w:fill="F2F2F2"/>
          </w:tcPr>
          <w:p w14:paraId="334C6B0D" w14:textId="2629519C" w:rsidR="00BB0BFC" w:rsidRDefault="009947BF" w:rsidP="009947BF">
            <w:r w:rsidRPr="009947BF">
              <w:t>Negligible sub-cent fees; batched L2 transaction compression ensures low-value family remittances remain economically viable</w:t>
            </w:r>
            <w:r>
              <w:t>.</w:t>
            </w:r>
          </w:p>
        </w:tc>
        <w:tc>
          <w:tcPr>
            <w:tcW w:w="2169" w:type="dxa"/>
            <w:tcBorders>
              <w:top w:val="single" w:sz="4" w:space="0" w:color="BFBFBF"/>
              <w:left w:val="single" w:sz="4" w:space="0" w:color="BFBFBF"/>
              <w:bottom w:val="single" w:sz="4" w:space="0" w:color="BFBFBF"/>
              <w:right w:val="single" w:sz="4" w:space="0" w:color="BFBFBF"/>
            </w:tcBorders>
            <w:shd w:val="clear" w:color="auto" w:fill="F2F2F2"/>
          </w:tcPr>
          <w:p w14:paraId="15B38F18" w14:textId="539BBBC8" w:rsidR="00BB0BFC" w:rsidRDefault="009947BF" w:rsidP="009947BF">
            <w:r w:rsidRPr="009947BF">
              <w:t>Low enterprise overhead; fixed corporate operating costs without exposure to public cryptocurrency market fee volatility.</w:t>
            </w:r>
          </w:p>
        </w:tc>
      </w:tr>
      <w:tr w:rsidR="00BB0BFC" w14:paraId="74C68E9D" w14:textId="77777777" w:rsidTr="00BB0BFC">
        <w:tc>
          <w:tcPr>
            <w:tcW w:w="2838" w:type="dxa"/>
            <w:tcBorders>
              <w:top w:val="single" w:sz="4" w:space="0" w:color="BFBFBF"/>
              <w:left w:val="single" w:sz="4" w:space="0" w:color="BFBFBF"/>
              <w:bottom w:val="single" w:sz="4" w:space="0" w:color="BFBFBF"/>
              <w:right w:val="single" w:sz="4" w:space="0" w:color="BFBFBF"/>
            </w:tcBorders>
          </w:tcPr>
          <w:p w14:paraId="257A627C" w14:textId="77777777" w:rsidR="00BB0BFC" w:rsidRDefault="00BB0BFC" w:rsidP="00BB0BFC">
            <w:r>
              <w:rPr>
                <w:b/>
                <w:sz w:val="18"/>
              </w:rPr>
              <w:lastRenderedPageBreak/>
              <w:t>Regulatory profile</w:t>
            </w:r>
          </w:p>
        </w:tc>
        <w:tc>
          <w:tcPr>
            <w:tcW w:w="2168" w:type="dxa"/>
            <w:tcBorders>
              <w:top w:val="single" w:sz="4" w:space="0" w:color="BFBFBF"/>
              <w:left w:val="single" w:sz="4" w:space="0" w:color="BFBFBF"/>
              <w:bottom w:val="single" w:sz="4" w:space="0" w:color="BFBFBF"/>
              <w:right w:val="single" w:sz="4" w:space="0" w:color="BFBFBF"/>
            </w:tcBorders>
          </w:tcPr>
          <w:p w14:paraId="6321085C" w14:textId="56F9931F" w:rsidR="00BB0BFC" w:rsidRDefault="009947BF" w:rsidP="00BB0BFC">
            <w:r w:rsidRPr="009947BF">
              <w:t xml:space="preserve">Deciding Criterion: satisfies CBB banking secrecy, customer privacy, and institutional audit mandates completely.  </w:t>
            </w:r>
          </w:p>
        </w:tc>
        <w:tc>
          <w:tcPr>
            <w:tcW w:w="2175" w:type="dxa"/>
            <w:tcBorders>
              <w:top w:val="single" w:sz="4" w:space="0" w:color="BFBFBF"/>
              <w:left w:val="single" w:sz="4" w:space="0" w:color="BFBFBF"/>
              <w:bottom w:val="single" w:sz="4" w:space="0" w:color="BFBFBF"/>
              <w:right w:val="single" w:sz="4" w:space="0" w:color="BFBFBF"/>
            </w:tcBorders>
          </w:tcPr>
          <w:p w14:paraId="054A9F0C" w14:textId="2507F0F2" w:rsidR="00BB0BFC" w:rsidRDefault="009947BF" w:rsidP="009947BF">
            <w:r w:rsidRPr="009947BF">
              <w:t>Public permissionless ledger; requires regulated exchange ramps and off-chain KYC/AML compliance monitoring.</w:t>
            </w:r>
          </w:p>
        </w:tc>
        <w:tc>
          <w:tcPr>
            <w:tcW w:w="2169" w:type="dxa"/>
            <w:tcBorders>
              <w:top w:val="single" w:sz="4" w:space="0" w:color="BFBFBF"/>
              <w:left w:val="single" w:sz="4" w:space="0" w:color="BFBFBF"/>
              <w:bottom w:val="single" w:sz="4" w:space="0" w:color="BFBFBF"/>
              <w:right w:val="single" w:sz="4" w:space="0" w:color="BFBFBF"/>
            </w:tcBorders>
          </w:tcPr>
          <w:p w14:paraId="1AC438DF" w14:textId="7612E65B" w:rsidR="00BB0BFC" w:rsidRDefault="009947BF" w:rsidP="00BB0BFC">
            <w:r w:rsidRPr="009947BF">
              <w:t>Deciding Criterion: aligns directly with GCC environmental oversight, corporate ESG compliance, and legal asset ownership</w:t>
            </w:r>
            <w:r>
              <w:t>.</w:t>
            </w:r>
          </w:p>
        </w:tc>
      </w:tr>
    </w:tbl>
    <w:p w14:paraId="005A0171" w14:textId="77777777" w:rsidR="00627D5C" w:rsidRDefault="00000000">
      <w:r>
        <w:rPr>
          <w:i/>
          <w:sz w:val="20"/>
        </w:rPr>
        <w:t>Expected: complete the grid for all three use cases, then write your defence naming the deciding criterion for each match.</w:t>
      </w:r>
    </w:p>
    <w:p w14:paraId="17F60ED1" w14:textId="77777777" w:rsidR="00627D5C" w:rsidRDefault="00000000">
      <w:r>
        <w:rPr>
          <w:b/>
          <w:sz w:val="22"/>
        </w:rPr>
        <w:t>Write your own answer here:</w:t>
      </w:r>
    </w:p>
    <w:tbl>
      <w:tblPr>
        <w:tblW w:w="0" w:type="auto"/>
        <w:tblLook w:val="04A0" w:firstRow="1" w:lastRow="0" w:firstColumn="1" w:lastColumn="0" w:noHBand="0" w:noVBand="1"/>
      </w:tblPr>
      <w:tblGrid>
        <w:gridCol w:w="9350"/>
      </w:tblGrid>
      <w:tr w:rsidR="00627D5C" w14:paraId="6C7648EE" w14:textId="77777777" w:rsidTr="00BB0BFC">
        <w:tc>
          <w:tcPr>
            <w:tcW w:w="9350" w:type="dxa"/>
            <w:tcBorders>
              <w:top w:val="single" w:sz="4" w:space="0" w:color="BFBFBF"/>
              <w:left w:val="single" w:sz="4" w:space="0" w:color="BFBFBF"/>
              <w:bottom w:val="single" w:sz="4" w:space="0" w:color="BFBFBF"/>
              <w:right w:val="single" w:sz="4" w:space="0" w:color="BFBFBF"/>
            </w:tcBorders>
          </w:tcPr>
          <w:p w14:paraId="5514E926" w14:textId="77777777" w:rsidR="009947BF" w:rsidRDefault="009947BF" w:rsidP="009947BF">
            <w:pPr>
              <w:pStyle w:val="NormalWeb"/>
              <w:spacing w:before="0" w:beforeAutospacing="0"/>
              <w:rPr>
                <w:rFonts w:ascii="Arial" w:hAnsi="Arial" w:cs="Arial"/>
              </w:rPr>
            </w:pPr>
            <w:r>
              <w:rPr>
                <w:rFonts w:ascii="Arial" w:hAnsi="Arial" w:cs="Arial"/>
              </w:rPr>
              <w:t xml:space="preserve">To align blockchain architecture with institutional requirements, each use case is matched to a fit-for-purpose chain by weighing trade-offs across the five decision criteria: </w:t>
            </w:r>
          </w:p>
          <w:p w14:paraId="1E413A3D" w14:textId="77777777" w:rsidR="009947BF" w:rsidRDefault="009947BF" w:rsidP="009947BF">
            <w:pPr>
              <w:pStyle w:val="NormalWeb"/>
              <w:numPr>
                <w:ilvl w:val="0"/>
                <w:numId w:val="2"/>
              </w:numPr>
              <w:spacing w:before="0" w:beforeAutospacing="0"/>
              <w:rPr>
                <w:rFonts w:ascii="Arial" w:hAnsi="Arial" w:cs="Arial"/>
              </w:rPr>
            </w:pPr>
            <w:r>
              <w:rPr>
                <w:rFonts w:ascii="Arial" w:hAnsi="Arial" w:cs="Arial"/>
                <w:b/>
                <w:bCs/>
              </w:rPr>
              <w:t xml:space="preserve">SME Trade-Finance Escrow (Bahrain) </w:t>
            </w:r>
            <m:oMath>
              <m:r>
                <w:rPr>
                  <w:rFonts w:ascii="Cambria Math" w:hAnsi="Cambria Math" w:cs="Arial"/>
                </w:rPr>
                <m:t>→</m:t>
              </m:r>
            </m:oMath>
            <w:r>
              <w:rPr>
                <w:rFonts w:ascii="Arial" w:hAnsi="Arial" w:cs="Arial"/>
                <w:b/>
                <w:bCs/>
              </w:rPr>
              <w:t xml:space="preserve"> Matched to Hyperledger Fabric:</w:t>
            </w:r>
          </w:p>
          <w:p w14:paraId="4763EB0F" w14:textId="77777777" w:rsidR="009947BF" w:rsidRPr="009947BF" w:rsidRDefault="009947BF" w:rsidP="009947BF">
            <w:pPr>
              <w:pStyle w:val="NormalWeb"/>
              <w:spacing w:before="0" w:beforeAutospacing="0"/>
              <w:ind w:left="720"/>
              <w:rPr>
                <w:rFonts w:ascii="Arial" w:hAnsi="Arial" w:cs="Arial"/>
              </w:rPr>
            </w:pPr>
            <w:r w:rsidRPr="009947BF">
              <w:rPr>
                <w:rFonts w:ascii="Arial" w:hAnsi="Arial" w:cs="Arial"/>
              </w:rPr>
              <w:t xml:space="preserve">The deciding criterion is Regulatory Profile. In Bahrain, commercial banks and SMEs handling letters of credit and trade escrow must comply with strict Central Bank of Bahrain (CBB) banking secrecy laws and customer privacy rules. Hyperledger Fabric provides private communication channels where transaction details remain visible only to the participating importer, exporter, and financing bank, preventing competitors from inspecting proprietary commercial trade flows. Regulatory compliance outweighs raw throughput and public decentralization because an escrow platform that exposes corporate invoices to public nodes cannot be legally deployed under CBB oversight. In making this choice, the banks give up access to open public decentralized finance (DeFi) liquidity and permissionless counterparty discovery. </w:t>
            </w:r>
          </w:p>
          <w:p w14:paraId="5F3D816E" w14:textId="77777777" w:rsidR="009947BF" w:rsidRDefault="009947BF" w:rsidP="009947BF">
            <w:pPr>
              <w:pStyle w:val="NormalWeb"/>
              <w:numPr>
                <w:ilvl w:val="0"/>
                <w:numId w:val="2"/>
              </w:numPr>
              <w:spacing w:before="0" w:beforeAutospacing="0"/>
              <w:rPr>
                <w:rFonts w:ascii="Arial" w:hAnsi="Arial" w:cs="Arial"/>
              </w:rPr>
            </w:pPr>
            <w:r>
              <w:rPr>
                <w:rFonts w:ascii="Arial" w:hAnsi="Arial" w:cs="Arial"/>
                <w:b/>
                <w:bCs/>
              </w:rPr>
              <w:t xml:space="preserve">Consumer BHD-to-PKR Money Transfer </w:t>
            </w:r>
            <m:oMath>
              <m:r>
                <w:rPr>
                  <w:rFonts w:ascii="Cambria Math" w:hAnsi="Cambria Math" w:cs="Arial"/>
                </w:rPr>
                <m:t>→</m:t>
              </m:r>
            </m:oMath>
            <w:r>
              <w:rPr>
                <w:rFonts w:ascii="Arial" w:hAnsi="Arial" w:cs="Arial"/>
                <w:b/>
                <w:bCs/>
              </w:rPr>
              <w:t xml:space="preserve"> Matched to Ethereum Layer 2 Rollup:</w:t>
            </w:r>
          </w:p>
          <w:p w14:paraId="559B30C7" w14:textId="77777777" w:rsidR="009947BF" w:rsidRDefault="009947BF" w:rsidP="009947BF">
            <w:pPr>
              <w:pStyle w:val="NormalWeb"/>
              <w:spacing w:before="0" w:beforeAutospacing="0"/>
              <w:ind w:left="720"/>
              <w:rPr>
                <w:rFonts w:ascii="Arial" w:hAnsi="Arial" w:cs="Arial"/>
              </w:rPr>
            </w:pPr>
            <w:r>
              <w:rPr>
                <w:rFonts w:ascii="Arial" w:hAnsi="Arial" w:cs="Arial"/>
              </w:rPr>
              <w:t xml:space="preserve">The deciding criterion is </w:t>
            </w:r>
            <w:r w:rsidRPr="009947BF">
              <w:rPr>
                <w:rFonts w:ascii="Arial" w:hAnsi="Arial" w:cs="Arial"/>
              </w:rPr>
              <w:t>Cost</w:t>
            </w:r>
            <w:r>
              <w:rPr>
                <w:rFonts w:ascii="Arial" w:hAnsi="Arial" w:cs="Arial"/>
              </w:rPr>
              <w:t xml:space="preserve">. South Asian expatriate workers remitting money from Bahrain to families in Pakistan typically transfer small monetary amounts (e.g., 50 to 100 BHD), where traditional correspondent banking wire charges or Layer 1 gas fees would consume an unacceptable portion of the family's funds. An Ethereum Layer 2 rollup bundles thousands of payments off-chain, reducing network fees to pennies and settling in seconds while maintaining the settlement security of Ethereum Layer 1. Cost outweighs enterprise-level </w:t>
            </w:r>
            <w:r>
              <w:rPr>
                <w:rFonts w:ascii="Arial" w:hAnsi="Arial" w:cs="Arial"/>
              </w:rPr>
              <w:lastRenderedPageBreak/>
              <w:t xml:space="preserve">privacy because retail consumer adoption depends entirely on minimal fees. By choosing a public Layer 2 network, the payment provider gives up native banking privacy, requiring financial firms to enforce off-chain KYC and FATF Travel Rule verification at the regulated fiat on/off-ramps. </w:t>
            </w:r>
          </w:p>
          <w:p w14:paraId="3DAB17A3" w14:textId="77777777" w:rsidR="009947BF" w:rsidRDefault="009947BF" w:rsidP="009947BF">
            <w:pPr>
              <w:pStyle w:val="NormalWeb"/>
              <w:numPr>
                <w:ilvl w:val="0"/>
                <w:numId w:val="2"/>
              </w:numPr>
              <w:spacing w:before="0" w:beforeAutospacing="0"/>
              <w:rPr>
                <w:rFonts w:ascii="Arial" w:hAnsi="Arial" w:cs="Arial"/>
              </w:rPr>
            </w:pPr>
            <w:r>
              <w:rPr>
                <w:rFonts w:ascii="Arial" w:hAnsi="Arial" w:cs="Arial"/>
                <w:b/>
                <w:bCs/>
              </w:rPr>
              <w:t xml:space="preserve">Carbon-Credit Registry for a Regional Energy Firm </w:t>
            </w:r>
            <m:oMath>
              <m:r>
                <w:rPr>
                  <w:rFonts w:ascii="Cambria Math" w:hAnsi="Cambria Math" w:cs="Arial"/>
                </w:rPr>
                <m:t>→</m:t>
              </m:r>
            </m:oMath>
            <w:r>
              <w:rPr>
                <w:rFonts w:ascii="Arial" w:hAnsi="Arial" w:cs="Arial"/>
                <w:b/>
                <w:bCs/>
              </w:rPr>
              <w:t xml:space="preserve"> Matched to Corda:</w:t>
            </w:r>
          </w:p>
          <w:p w14:paraId="55A31555" w14:textId="7EF2880B" w:rsidR="00BB0BFC" w:rsidRPr="009947BF" w:rsidRDefault="009947BF" w:rsidP="009947BF">
            <w:pPr>
              <w:pStyle w:val="NormalWeb"/>
              <w:spacing w:before="0" w:beforeAutospacing="0"/>
              <w:ind w:left="720"/>
              <w:rPr>
                <w:rFonts w:ascii="Arial" w:hAnsi="Arial" w:cs="Arial"/>
              </w:rPr>
            </w:pPr>
            <w:r>
              <w:rPr>
                <w:rFonts w:ascii="Arial" w:hAnsi="Arial" w:cs="Arial"/>
              </w:rPr>
              <w:t xml:space="preserve">The deciding criterion is </w:t>
            </w:r>
            <w:r w:rsidRPr="009947BF">
              <w:rPr>
                <w:rFonts w:ascii="Arial" w:hAnsi="Arial" w:cs="Arial"/>
              </w:rPr>
              <w:t>Governance</w:t>
            </w:r>
            <w:r>
              <w:rPr>
                <w:rFonts w:ascii="Arial" w:hAnsi="Arial" w:cs="Arial"/>
              </w:rPr>
              <w:t xml:space="preserve">. Carbon credits represent legally binding environmental property rights intended to satisfy Gulf Cooperation Council (GCC) corporate sustainability targets and national net-zero pledges. Corda enables a strictly governed consortium where only accredited environmental verifiers, national authorities, and authorized energy firms can issue or retire certificates using deterministic point-to-point validation. Strict institutional governance outweighs high-throughput public speed because preventing fraudulent double-issuance and maintaining legally defensible ownership records are paramount for carbon accounting. In exchange, the energy firm gives up permissionless global trading liquidity, meaning credits cannot be traded freely on open secondary crypto exchanges without permissioned gateways. </w:t>
            </w:r>
          </w:p>
        </w:tc>
      </w:tr>
    </w:tbl>
    <w:p w14:paraId="30F04035" w14:textId="77777777" w:rsidR="00627D5C"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4102"/>
        <w:gridCol w:w="5248"/>
      </w:tblGrid>
      <w:tr w:rsidR="00627D5C" w14:paraId="5173C1C8" w14:textId="77777777">
        <w:tc>
          <w:tcPr>
            <w:tcW w:w="4176" w:type="dxa"/>
            <w:tcBorders>
              <w:top w:val="single" w:sz="4" w:space="0" w:color="BFBFBF"/>
              <w:left w:val="single" w:sz="4" w:space="0" w:color="BFBFBF"/>
              <w:bottom w:val="single" w:sz="4" w:space="0" w:color="BFBFBF"/>
              <w:right w:val="single" w:sz="4" w:space="0" w:color="BFBFBF"/>
            </w:tcBorders>
          </w:tcPr>
          <w:p w14:paraId="0BDBF1B2" w14:textId="77777777" w:rsidR="00627D5C" w:rsidRDefault="00000000">
            <w:r>
              <w:rPr>
                <w:b/>
                <w:sz w:val="20"/>
              </w:rPr>
              <w:t>Sources I used (if any)</w:t>
            </w:r>
          </w:p>
        </w:tc>
        <w:tc>
          <w:tcPr>
            <w:tcW w:w="5328" w:type="dxa"/>
            <w:tcBorders>
              <w:top w:val="single" w:sz="4" w:space="0" w:color="BFBFBF"/>
              <w:left w:val="single" w:sz="4" w:space="0" w:color="BFBFBF"/>
              <w:bottom w:val="single" w:sz="4" w:space="0" w:color="BFBFBF"/>
              <w:right w:val="single" w:sz="4" w:space="0" w:color="BFBFBF"/>
            </w:tcBorders>
          </w:tcPr>
          <w:p w14:paraId="59A8D515" w14:textId="338ACD5E" w:rsidR="009947BF" w:rsidRPr="009947BF" w:rsidRDefault="009947BF" w:rsidP="009947BF">
            <w:r w:rsidRPr="009947BF">
              <w:t xml:space="preserve">Bahrain Polytechnic. (2026). </w:t>
            </w:r>
            <w:r w:rsidRPr="009947BF">
              <w:rPr>
                <w:i/>
                <w:iCs/>
              </w:rPr>
              <w:t>IT8204 Week 4 Session 2: Structured Extract, Visual Reading, and Opener Slides</w:t>
            </w:r>
            <w:r w:rsidRPr="009947BF">
              <w:t xml:space="preserve">. School of Information and Communication Technology. </w:t>
            </w:r>
          </w:p>
          <w:p w14:paraId="3D037B98" w14:textId="28148CDA" w:rsidR="009947BF" w:rsidRPr="009947BF" w:rsidRDefault="009947BF" w:rsidP="009947BF">
            <w:r w:rsidRPr="009947BF">
              <w:t xml:space="preserve">Central Bank of Bahrain. (2019). </w:t>
            </w:r>
            <w:r w:rsidRPr="009947BF">
              <w:rPr>
                <w:i/>
                <w:iCs/>
              </w:rPr>
              <w:t>CBB Rulebook, Volume 6: Capital Markets, Module CRA (Crypto-Asset)</w:t>
            </w:r>
            <w:r w:rsidRPr="009947BF">
              <w:t xml:space="preserve">. Manama: Central Bank of Bahrain. </w:t>
            </w:r>
          </w:p>
          <w:p w14:paraId="49A93E73" w14:textId="1417E57C" w:rsidR="009947BF" w:rsidRPr="009947BF" w:rsidRDefault="009947BF" w:rsidP="009947BF">
            <w:r w:rsidRPr="009947BF">
              <w:t xml:space="preserve">Drescher, D. (2026). </w:t>
            </w:r>
            <w:r w:rsidRPr="009947BF">
              <w:rPr>
                <w:i/>
                <w:iCs/>
              </w:rPr>
              <w:t>Blockchain basics: A non-technical introduction in 25 steps + 5 steps beyond the basics</w:t>
            </w:r>
            <w:r w:rsidRPr="009947BF">
              <w:t xml:space="preserve"> (2nd ed.), Steps 27–28. Apress / Springer Nature. </w:t>
            </w:r>
          </w:p>
          <w:p w14:paraId="0FD3F53C" w14:textId="02FAB371" w:rsidR="00627D5C" w:rsidRDefault="009947BF" w:rsidP="009947BF">
            <w:r w:rsidRPr="009947BF">
              <w:t xml:space="preserve">Schär, F. (2021). Decentralized finance: On blockchain- and smart contract-based financial markets. </w:t>
            </w:r>
            <w:r w:rsidRPr="009947BF">
              <w:rPr>
                <w:i/>
                <w:iCs/>
              </w:rPr>
              <w:t>Federal Reserve Bank of St. Louis Review</w:t>
            </w:r>
            <w:r w:rsidRPr="009947BF">
              <w:t>, 103(2), 153–174</w:t>
            </w:r>
          </w:p>
        </w:tc>
      </w:tr>
    </w:tbl>
    <w:p w14:paraId="60DDFE54" w14:textId="77777777" w:rsidR="00627D5C" w:rsidRDefault="00000000">
      <w:pPr>
        <w:spacing w:before="200" w:after="80"/>
      </w:pPr>
      <w:r>
        <w:rPr>
          <w:b/>
          <w:color w:val="1F4E79"/>
          <w:sz w:val="26"/>
        </w:rPr>
        <w:t>Before you submit</w:t>
      </w:r>
    </w:p>
    <w:p w14:paraId="3F72D334" w14:textId="77777777" w:rsidR="00627D5C" w:rsidRDefault="00000000">
      <w:pPr>
        <w:spacing w:after="40"/>
        <w:ind w:left="432" w:hanging="216"/>
      </w:pPr>
      <w:r>
        <w:rPr>
          <w:sz w:val="22"/>
        </w:rPr>
        <w:lastRenderedPageBreak/>
        <w:t>•  Your name and student ID are filled in.</w:t>
      </w:r>
    </w:p>
    <w:p w14:paraId="331D40F1" w14:textId="77777777" w:rsidR="00627D5C" w:rsidRDefault="00000000">
      <w:pPr>
        <w:spacing w:after="40"/>
        <w:ind w:left="432" w:hanging="216"/>
      </w:pPr>
      <w:r>
        <w:rPr>
          <w:sz w:val="22"/>
        </w:rPr>
        <w:t>•  All tasks are attempted.</w:t>
      </w:r>
    </w:p>
    <w:p w14:paraId="0451293B" w14:textId="77777777" w:rsidR="00627D5C" w:rsidRDefault="00000000">
      <w:pPr>
        <w:spacing w:after="40"/>
        <w:ind w:left="432" w:hanging="216"/>
      </w:pPr>
      <w:r>
        <w:rPr>
          <w:sz w:val="22"/>
        </w:rPr>
        <w:t>•  Submit this sheet before you leave today, to the Week 4 weekly worksheets link on Moodle. That same link takes both of the Week 4 weekly worksheets, one per session.</w:t>
      </w:r>
    </w:p>
    <w:p w14:paraId="38A78171" w14:textId="77777777" w:rsidR="00627D5C" w:rsidRDefault="00000000">
      <w:pPr>
        <w:spacing w:after="40"/>
        <w:ind w:left="432" w:hanging="216"/>
      </w:pPr>
      <w:r>
        <w:rPr>
          <w:sz w:val="22"/>
        </w:rPr>
        <w:t>•  If you need more time, finish it at home and submit to the same link by Friday 9 October 2026, 23:59. That is the deadline for both Week 4 sheets.</w:t>
      </w:r>
    </w:p>
    <w:p w14:paraId="0D1DB10F" w14:textId="77777777" w:rsidR="00627D5C" w:rsidRDefault="00000000">
      <w:pPr>
        <w:spacing w:after="40"/>
        <w:ind w:left="432" w:hanging="216"/>
      </w:pPr>
      <w:r>
        <w:rPr>
          <w:sz w:val="22"/>
        </w:rPr>
        <w:t>•  Both weekly worksheets are marked together in one Week 4 marking sheet worth 2.50 percent of the course.</w:t>
      </w:r>
    </w:p>
    <w:p w14:paraId="471E3A3B" w14:textId="77777777" w:rsidR="00627D5C" w:rsidRDefault="00000000">
      <w:pPr>
        <w:spacing w:after="40"/>
        <w:ind w:left="432" w:hanging="216"/>
      </w:pPr>
      <w:r>
        <w:rPr>
          <w:sz w:val="22"/>
        </w:rPr>
        <w:t>•  You may use your notes and the session readings. Every worksheet is your own work.</w:t>
      </w:r>
    </w:p>
    <w:sectPr w:rsidR="00627D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75BC5" w14:textId="77777777" w:rsidR="00265800" w:rsidRDefault="00265800" w:rsidP="002F5FE7">
      <w:pPr>
        <w:spacing w:after="0" w:line="240" w:lineRule="auto"/>
      </w:pPr>
      <w:r>
        <w:separator/>
      </w:r>
    </w:p>
  </w:endnote>
  <w:endnote w:type="continuationSeparator" w:id="0">
    <w:p w14:paraId="4EF05D74" w14:textId="77777777" w:rsidR="00265800" w:rsidRDefault="00265800"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61A3B4AF" w14:textId="77777777">
      <w:tc>
        <w:tcPr>
          <w:tcW w:w="2500" w:type="pct"/>
          <w:tcBorders>
            <w:top w:val="nil"/>
            <w:left w:val="nil"/>
            <w:bottom w:val="nil"/>
            <w:right w:val="nil"/>
          </w:tcBorders>
        </w:tcPr>
        <w:p w14:paraId="5385351A"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3852F592"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5784D3"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2D7F094A" w14:textId="77777777">
      <w:tc>
        <w:tcPr>
          <w:tcW w:w="2500" w:type="pct"/>
          <w:tcBorders>
            <w:top w:val="nil"/>
            <w:left w:val="nil"/>
            <w:bottom w:val="nil"/>
            <w:right w:val="nil"/>
          </w:tcBorders>
        </w:tcPr>
        <w:p w14:paraId="52FC9B87"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3FE774F7"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7D942263"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8C89"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639F" w14:textId="77777777" w:rsidR="00265800" w:rsidRDefault="00265800" w:rsidP="002F5FE7">
      <w:pPr>
        <w:spacing w:after="0" w:line="240" w:lineRule="auto"/>
      </w:pPr>
      <w:r>
        <w:separator/>
      </w:r>
    </w:p>
  </w:footnote>
  <w:footnote w:type="continuationSeparator" w:id="0">
    <w:p w14:paraId="7F43FF5C" w14:textId="77777777" w:rsidR="00265800" w:rsidRDefault="00265800"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5AE8"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14E6" w14:textId="77777777" w:rsidR="00627D5C" w:rsidRDefault="00000000">
    <w:pPr>
      <w:jc w:val="center"/>
    </w:pPr>
    <w:r>
      <w:rPr>
        <w:b/>
        <w:color w:val="1F4E79"/>
        <w:sz w:val="20"/>
      </w:rPr>
      <w:t>IT8204 Week 4 Session 2 Worksheet v1.0</w:t>
    </w:r>
  </w:p>
  <w:p w14:paraId="70F9AC05"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9856"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54186"/>
    <w:multiLevelType w:val="multilevel"/>
    <w:tmpl w:val="F706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E12FAE"/>
    <w:multiLevelType w:val="hybridMultilevel"/>
    <w:tmpl w:val="A8204C8C"/>
    <w:lvl w:ilvl="0" w:tplc="0FCED0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93511">
    <w:abstractNumId w:val="1"/>
  </w:num>
  <w:num w:numId="2" w16cid:durableId="1125080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5800"/>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2BA"/>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27D5C"/>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47B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0BFC"/>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8B69"/>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paragraph" w:styleId="NormalWeb">
    <w:name w:val="Normal (Web)"/>
    <w:basedOn w:val="Normal"/>
    <w:uiPriority w:val="99"/>
    <w:unhideWhenUsed/>
    <w:rsid w:val="009947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1717</Words>
  <Characters>9792</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7</cp:revision>
  <cp:lastPrinted>2026-10-09T16:28:00Z</cp:lastPrinted>
  <dcterms:created xsi:type="dcterms:W3CDTF">2026-05-16T22:44:00Z</dcterms:created>
  <dcterms:modified xsi:type="dcterms:W3CDTF">2026-10-09T16:40:00Z</dcterms:modified>
</cp:coreProperties>
</file>