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5C50" w14:textId="77777777" w:rsidR="00861695" w:rsidRDefault="00000000">
      <w:r>
        <w:rPr>
          <w:b/>
          <w:color w:val="1F4E79"/>
          <w:sz w:val="36"/>
        </w:rPr>
        <w:t>Worksheet - Bahrain's Crypto-asset Rulebook, Chapter by Chapter</w:t>
      </w:r>
    </w:p>
    <w:p w14:paraId="233A22E9" w14:textId="77777777" w:rsidR="00861695" w:rsidRDefault="00000000">
      <w:r>
        <w:rPr>
          <w:b/>
          <w:color w:val="1F4E79"/>
        </w:rPr>
        <w:t>Week 5, Session 1  |  Assessment 2 (A2) - the weekly worksheets  |  You submit this yourself</w:t>
      </w:r>
    </w:p>
    <w:p w14:paraId="085A0C51" w14:textId="77777777" w:rsidR="00861695" w:rsidRDefault="00000000">
      <w:r>
        <w:rPr>
          <w:i/>
          <w:color w:val="808080"/>
          <w:sz w:val="18"/>
        </w:rPr>
        <w:t>Complete it in class and submit it on Moodle before you leave.</w:t>
      </w:r>
    </w:p>
    <w:p w14:paraId="01973C16" w14:textId="77777777" w:rsidR="00861695"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861695" w14:paraId="1A4F1E74" w14:textId="77777777">
        <w:tc>
          <w:tcPr>
            <w:tcW w:w="3744" w:type="dxa"/>
            <w:tcBorders>
              <w:top w:val="single" w:sz="4" w:space="0" w:color="BFBFBF"/>
              <w:left w:val="single" w:sz="4" w:space="0" w:color="BFBFBF"/>
              <w:bottom w:val="single" w:sz="4" w:space="0" w:color="BFBFBF"/>
              <w:right w:val="single" w:sz="4" w:space="0" w:color="BFBFBF"/>
            </w:tcBorders>
          </w:tcPr>
          <w:p w14:paraId="21E8B9C0" w14:textId="77777777" w:rsidR="00861695"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782ABAD9" w14:textId="37C52605" w:rsidR="00861695" w:rsidRDefault="00512879" w:rsidP="00512879">
            <w:r w:rsidRPr="00512879">
              <w:t>Meqdad Muhana</w:t>
            </w:r>
          </w:p>
        </w:tc>
      </w:tr>
      <w:tr w:rsidR="00861695" w14:paraId="2F328EA2" w14:textId="77777777">
        <w:tc>
          <w:tcPr>
            <w:tcW w:w="3744" w:type="dxa"/>
            <w:tcBorders>
              <w:top w:val="single" w:sz="4" w:space="0" w:color="BFBFBF"/>
              <w:left w:val="single" w:sz="4" w:space="0" w:color="BFBFBF"/>
              <w:bottom w:val="single" w:sz="4" w:space="0" w:color="BFBFBF"/>
              <w:right w:val="single" w:sz="4" w:space="0" w:color="BFBFBF"/>
            </w:tcBorders>
          </w:tcPr>
          <w:p w14:paraId="68501949" w14:textId="77777777" w:rsidR="00861695"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63E6FADB" w14:textId="47CDE9B6" w:rsidR="00861695" w:rsidRDefault="00512879">
            <w:r>
              <w:t>202306213</w:t>
            </w:r>
          </w:p>
        </w:tc>
      </w:tr>
      <w:tr w:rsidR="00861695" w14:paraId="4DC36D3A" w14:textId="77777777">
        <w:tc>
          <w:tcPr>
            <w:tcW w:w="3744" w:type="dxa"/>
            <w:tcBorders>
              <w:top w:val="single" w:sz="4" w:space="0" w:color="BFBFBF"/>
              <w:left w:val="single" w:sz="4" w:space="0" w:color="BFBFBF"/>
              <w:bottom w:val="single" w:sz="4" w:space="0" w:color="BFBFBF"/>
              <w:right w:val="single" w:sz="4" w:space="0" w:color="BFBFBF"/>
            </w:tcBorders>
          </w:tcPr>
          <w:p w14:paraId="4196A5FB" w14:textId="77777777" w:rsidR="00861695"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4B6A72D0" w14:textId="609E0CC4" w:rsidR="00861695" w:rsidRDefault="00512879" w:rsidP="00512879">
            <w:r w:rsidRPr="00512879">
              <w:t>Ali Mohammed Radhi</w:t>
            </w:r>
            <w:r>
              <w:t xml:space="preserve"> – </w:t>
            </w:r>
            <w:r w:rsidRPr="00512879">
              <w:t>202304871</w:t>
            </w:r>
            <w:r>
              <w:t xml:space="preserve">, </w:t>
            </w:r>
            <w:r w:rsidRPr="00512879">
              <w:t xml:space="preserve">Sayed Ali Mahmood </w:t>
            </w:r>
            <w:r>
              <w:t xml:space="preserve">- </w:t>
            </w:r>
            <w:r w:rsidRPr="00512879">
              <w:t>202301601</w:t>
            </w:r>
          </w:p>
        </w:tc>
      </w:tr>
    </w:tbl>
    <w:p w14:paraId="5D4237D7" w14:textId="77777777" w:rsidR="00861695" w:rsidRDefault="00000000">
      <w:pPr>
        <w:spacing w:before="200" w:after="80"/>
      </w:pPr>
      <w:r>
        <w:rPr>
          <w:b/>
          <w:color w:val="1F4E79"/>
          <w:sz w:val="26"/>
        </w:rPr>
        <w:t>How this worksheet works</w:t>
      </w:r>
    </w:p>
    <w:p w14:paraId="506510EA" w14:textId="77777777" w:rsidR="00861695" w:rsidRDefault="00000000">
      <w:pPr>
        <w:spacing w:after="40"/>
        <w:ind w:left="432" w:hanging="216"/>
      </w:pPr>
      <w:r>
        <w:rPr>
          <w:sz w:val="22"/>
        </w:rPr>
        <w:t>•  This worksheet counts towards Assessment 2. You complete and submit it yourself, even when you work with others.</w:t>
      </w:r>
    </w:p>
    <w:p w14:paraId="5046CABB" w14:textId="77777777" w:rsidR="00861695" w:rsidRDefault="00000000">
      <w:pPr>
        <w:spacing w:after="40"/>
        <w:ind w:left="432" w:hanging="216"/>
      </w:pPr>
      <w:r>
        <w:rPr>
          <w:sz w:val="22"/>
        </w:rPr>
        <w:t>•  Write your answers in your own words, and list any sources you used in Task 4.</w:t>
      </w:r>
    </w:p>
    <w:p w14:paraId="46DC4D16" w14:textId="77777777" w:rsidR="00861695" w:rsidRDefault="00000000">
      <w:pPr>
        <w:spacing w:before="200" w:after="80"/>
      </w:pPr>
      <w:r>
        <w:rPr>
          <w:b/>
          <w:color w:val="1F4E79"/>
          <w:sz w:val="26"/>
        </w:rPr>
        <w:t>Words to know</w:t>
      </w:r>
    </w:p>
    <w:p w14:paraId="0C862714" w14:textId="77777777" w:rsidR="00861695"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39"/>
        <w:gridCol w:w="6511"/>
      </w:tblGrid>
      <w:tr w:rsidR="00861695" w14:paraId="2D3BB411"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1195D4D4" w14:textId="77777777" w:rsidR="00861695"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3C128316" w14:textId="77777777" w:rsidR="00861695" w:rsidRDefault="00000000">
            <w:r>
              <w:rPr>
                <w:b/>
                <w:color w:val="FFFFFF"/>
                <w:sz w:val="20"/>
              </w:rPr>
              <w:t>Plain meaning</w:t>
            </w:r>
          </w:p>
        </w:tc>
      </w:tr>
      <w:tr w:rsidR="00861695" w14:paraId="018CAC0A" w14:textId="77777777">
        <w:tc>
          <w:tcPr>
            <w:tcW w:w="2880" w:type="dxa"/>
            <w:tcBorders>
              <w:top w:val="single" w:sz="4" w:space="0" w:color="BFBFBF"/>
              <w:left w:val="single" w:sz="4" w:space="0" w:color="BFBFBF"/>
              <w:bottom w:val="single" w:sz="4" w:space="0" w:color="BFBFBF"/>
              <w:right w:val="single" w:sz="4" w:space="0" w:color="BFBFBF"/>
            </w:tcBorders>
          </w:tcPr>
          <w:p w14:paraId="6677B82E" w14:textId="77777777" w:rsidR="00861695" w:rsidRDefault="00000000">
            <w:r>
              <w:rPr>
                <w:sz w:val="20"/>
              </w:rPr>
              <w:t>Wallet</w:t>
            </w:r>
          </w:p>
        </w:tc>
        <w:tc>
          <w:tcPr>
            <w:tcW w:w="6624" w:type="dxa"/>
            <w:tcBorders>
              <w:top w:val="single" w:sz="4" w:space="0" w:color="BFBFBF"/>
              <w:left w:val="single" w:sz="4" w:space="0" w:color="BFBFBF"/>
              <w:bottom w:val="single" w:sz="4" w:space="0" w:color="BFBFBF"/>
              <w:right w:val="single" w:sz="4" w:space="0" w:color="BFBFBF"/>
            </w:tcBorders>
          </w:tcPr>
          <w:p w14:paraId="19E1ABE8" w14:textId="77777777" w:rsidR="00861695" w:rsidRDefault="00000000">
            <w:r>
              <w:rPr>
                <w:sz w:val="20"/>
              </w:rPr>
              <w:t>The app or device that stores the secret codes which control what you own on a blockchain. It does not hold the assets themselves. Those stay on the record book.</w:t>
            </w:r>
          </w:p>
        </w:tc>
      </w:tr>
      <w:tr w:rsidR="00861695" w14:paraId="3642C27A"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0CB0BD6C" w14:textId="77777777" w:rsidR="00861695" w:rsidRDefault="00000000">
            <w:r>
              <w:rPr>
                <w:sz w:val="20"/>
              </w:rPr>
              <w:t>Custody</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735F9E24" w14:textId="77777777" w:rsidR="00861695" w:rsidRDefault="00000000">
            <w:r>
              <w:rPr>
                <w:sz w:val="20"/>
              </w:rPr>
              <w:t>Who holds the secret keys, and so who actually controls the assets. Either you hold them yourself, or a licensed firm holds them for you.</w:t>
            </w:r>
          </w:p>
        </w:tc>
      </w:tr>
      <w:tr w:rsidR="00861695" w14:paraId="743FD920" w14:textId="77777777">
        <w:tc>
          <w:tcPr>
            <w:tcW w:w="2880" w:type="dxa"/>
            <w:tcBorders>
              <w:top w:val="single" w:sz="4" w:space="0" w:color="BFBFBF"/>
              <w:left w:val="single" w:sz="4" w:space="0" w:color="BFBFBF"/>
              <w:bottom w:val="single" w:sz="4" w:space="0" w:color="BFBFBF"/>
              <w:right w:val="single" w:sz="4" w:space="0" w:color="BFBFBF"/>
            </w:tcBorders>
          </w:tcPr>
          <w:p w14:paraId="3A2B9A10" w14:textId="77777777" w:rsidR="00861695" w:rsidRDefault="00000000">
            <w:r>
              <w:rPr>
                <w:sz w:val="20"/>
              </w:rPr>
              <w:t>Pathway</w:t>
            </w:r>
          </w:p>
        </w:tc>
        <w:tc>
          <w:tcPr>
            <w:tcW w:w="6624" w:type="dxa"/>
            <w:tcBorders>
              <w:top w:val="single" w:sz="4" w:space="0" w:color="BFBFBF"/>
              <w:left w:val="single" w:sz="4" w:space="0" w:color="BFBFBF"/>
              <w:bottom w:val="single" w:sz="4" w:space="0" w:color="BFBFBF"/>
              <w:right w:val="single" w:sz="4" w:space="0" w:color="BFBFBF"/>
            </w:tcBorders>
          </w:tcPr>
          <w:p w14:paraId="35C22630" w14:textId="77777777" w:rsidR="00861695" w:rsidRDefault="00000000">
            <w:r>
              <w:rPr>
                <w:sz w:val="20"/>
              </w:rPr>
              <w:t xml:space="preserve">The route a firm takes from an idea to a </w:t>
            </w:r>
            <w:proofErr w:type="spellStart"/>
            <w:r>
              <w:rPr>
                <w:sz w:val="20"/>
              </w:rPr>
              <w:t>licence</w:t>
            </w:r>
            <w:proofErr w:type="spellEnd"/>
            <w:r>
              <w:rPr>
                <w:sz w:val="20"/>
              </w:rPr>
              <w:t>. It sets out which steps it must clear, in which order, and who approves each one.</w:t>
            </w:r>
          </w:p>
        </w:tc>
      </w:tr>
    </w:tbl>
    <w:p w14:paraId="50798AB9" w14:textId="77777777" w:rsidR="00861695" w:rsidRDefault="00000000">
      <w:pPr>
        <w:spacing w:before="200" w:after="80"/>
      </w:pPr>
      <w:r>
        <w:rPr>
          <w:b/>
          <w:color w:val="1F4E79"/>
          <w:sz w:val="26"/>
        </w:rPr>
        <w:t>Tools you need today</w:t>
      </w:r>
    </w:p>
    <w:p w14:paraId="61CBBCD6" w14:textId="77777777" w:rsidR="00861695" w:rsidRDefault="00000000">
      <w:r>
        <w:rPr>
          <w:i/>
          <w:sz w:val="20"/>
        </w:rPr>
        <w:t>Every tool below is free and none of them needs real money. If one will not work, read its last line and carry on. A tool that refuses you is not your mistake.</w:t>
      </w:r>
    </w:p>
    <w:p w14:paraId="60185194" w14:textId="77777777" w:rsidR="00861695" w:rsidRDefault="00000000">
      <w:r>
        <w:rPr>
          <w:b/>
          <w:sz w:val="22"/>
        </w:rPr>
        <w:t>The Central Bank of Bahrain Rulebook</w:t>
      </w:r>
    </w:p>
    <w:p w14:paraId="1FFE93ED" w14:textId="77777777" w:rsidR="00861695" w:rsidRDefault="00000000">
      <w:pPr>
        <w:spacing w:after="40"/>
        <w:ind w:left="432" w:hanging="216"/>
      </w:pPr>
      <w:r>
        <w:rPr>
          <w:sz w:val="22"/>
        </w:rPr>
        <w:lastRenderedPageBreak/>
        <w:t xml:space="preserve">•  Where to find it - Central Bank of Bahrain: </w:t>
      </w:r>
      <w:hyperlink r:id="rId7">
        <w:r w:rsidR="00861695">
          <w:rPr>
            <w:color w:val="0563C1"/>
            <w:sz w:val="22"/>
            <w:u w:val="single"/>
          </w:rPr>
          <w:t>https://www.cbb.gov.bh</w:t>
        </w:r>
      </w:hyperlink>
    </w:p>
    <w:p w14:paraId="047DB9ED" w14:textId="77777777" w:rsidR="00861695" w:rsidRDefault="00000000">
      <w:r>
        <w:rPr>
          <w:i/>
          <w:sz w:val="20"/>
        </w:rPr>
        <w:t>How to get to what you need:</w:t>
      </w:r>
    </w:p>
    <w:p w14:paraId="66526FDE" w14:textId="77777777" w:rsidR="00861695" w:rsidRDefault="00000000">
      <w:pPr>
        <w:spacing w:after="40"/>
        <w:ind w:left="432" w:hanging="216"/>
      </w:pPr>
      <w:r>
        <w:rPr>
          <w:sz w:val="20"/>
        </w:rPr>
        <w:t>1.  Open the address above and find the Rulebook section of the site.</w:t>
      </w:r>
    </w:p>
    <w:p w14:paraId="039A8F63" w14:textId="77777777" w:rsidR="00861695" w:rsidRDefault="00000000">
      <w:pPr>
        <w:spacing w:after="40"/>
        <w:ind w:left="432" w:hanging="216"/>
      </w:pPr>
      <w:r>
        <w:rPr>
          <w:sz w:val="20"/>
        </w:rPr>
        <w:t>2.  Choose Volume 6, which is the volume for crypto-asset firms.</w:t>
      </w:r>
    </w:p>
    <w:p w14:paraId="5B7B867B" w14:textId="77777777" w:rsidR="00861695" w:rsidRDefault="00000000">
      <w:pPr>
        <w:spacing w:after="40"/>
        <w:ind w:left="432" w:hanging="216"/>
      </w:pPr>
      <w:r>
        <w:rPr>
          <w:sz w:val="20"/>
        </w:rPr>
        <w:t>3.  Open Module CRA, then the chapter you need, such as CRA-8 for custody.</w:t>
      </w:r>
    </w:p>
    <w:p w14:paraId="2CE2FB65" w14:textId="77777777" w:rsidR="00861695" w:rsidRDefault="00000000">
      <w:pPr>
        <w:spacing w:after="40"/>
        <w:ind w:left="432" w:hanging="216"/>
      </w:pPr>
      <w:r>
        <w:rPr>
          <w:sz w:val="20"/>
        </w:rPr>
        <w:t>4.  If the site is slow, the copy in your Moodle section is the same text.</w:t>
      </w:r>
    </w:p>
    <w:p w14:paraId="1AD31BF3" w14:textId="77777777" w:rsidR="00861695" w:rsidRDefault="00000000">
      <w:r>
        <w:rPr>
          <w:i/>
          <w:sz w:val="20"/>
        </w:rPr>
        <w:t>Before you start:</w:t>
      </w:r>
    </w:p>
    <w:p w14:paraId="2FE3ECFB" w14:textId="77777777" w:rsidR="00861695" w:rsidRDefault="00000000">
      <w:pPr>
        <w:spacing w:after="40"/>
        <w:ind w:left="432" w:hanging="216"/>
      </w:pPr>
      <w:r>
        <w:rPr>
          <w:sz w:val="22"/>
        </w:rPr>
        <w:t>•  Reading is free. A copy of Module CRA is also in your Week 5 Moodle section, so you can work offline if you prefer.</w:t>
      </w:r>
    </w:p>
    <w:p w14:paraId="56071965" w14:textId="77777777" w:rsidR="00861695" w:rsidRDefault="00000000">
      <w:r>
        <w:rPr>
          <w:sz w:val="20"/>
        </w:rPr>
        <w:t>If it does not work: If the site is slow, use the Module CRA copy in your Week 5 Moodle section. It is the same text.</w:t>
      </w:r>
    </w:p>
    <w:p w14:paraId="69662B14" w14:textId="77777777" w:rsidR="00861695" w:rsidRDefault="00000000">
      <w:r>
        <w:rPr>
          <w:b/>
          <w:sz w:val="22"/>
        </w:rPr>
        <w:t>The sample product description you annotate</w:t>
      </w:r>
    </w:p>
    <w:p w14:paraId="0F8F93FB" w14:textId="77777777" w:rsidR="00861695" w:rsidRDefault="00000000">
      <w:pPr>
        <w:spacing w:after="40"/>
        <w:ind w:left="432" w:hanging="216"/>
      </w:pPr>
      <w:r>
        <w:rPr>
          <w:sz w:val="22"/>
        </w:rPr>
        <w:t>•  Where to find it - IT8204 Week 5 Session 1 Sample Product v1.docx, in the Week 5 Moodle section</w:t>
      </w:r>
    </w:p>
    <w:p w14:paraId="122CC560" w14:textId="77777777" w:rsidR="00861695" w:rsidRDefault="00000000">
      <w:r>
        <w:rPr>
          <w:i/>
          <w:sz w:val="20"/>
        </w:rPr>
        <w:t>How to get to what you need:</w:t>
      </w:r>
    </w:p>
    <w:p w14:paraId="5A9CA866" w14:textId="77777777" w:rsidR="00861695" w:rsidRDefault="00000000">
      <w:pPr>
        <w:spacing w:after="40"/>
        <w:ind w:left="432" w:hanging="216"/>
      </w:pPr>
      <w:r>
        <w:rPr>
          <w:sz w:val="20"/>
        </w:rPr>
        <w:t>1.  Download the file named above, or read it on screen.</w:t>
      </w:r>
    </w:p>
    <w:p w14:paraId="46F5378E" w14:textId="77777777" w:rsidR="00861695" w:rsidRDefault="00000000">
      <w:pPr>
        <w:spacing w:after="40"/>
        <w:ind w:left="432" w:hanging="216"/>
      </w:pPr>
      <w:r>
        <w:rPr>
          <w:sz w:val="20"/>
        </w:rPr>
        <w:t>2.  Read it once straight through before you tag anything.</w:t>
      </w:r>
    </w:p>
    <w:p w14:paraId="48612F02" w14:textId="77777777" w:rsidR="00861695" w:rsidRDefault="00000000">
      <w:pPr>
        <w:spacing w:after="40"/>
        <w:ind w:left="432" w:hanging="216"/>
      </w:pPr>
      <w:r>
        <w:rPr>
          <w:sz w:val="20"/>
        </w:rPr>
        <w:t>3.  Then work paragraph by paragraph, tagging each to the chapter that governs it.</w:t>
      </w:r>
    </w:p>
    <w:p w14:paraId="53553332" w14:textId="77777777" w:rsidR="00861695" w:rsidRDefault="00000000">
      <w:r>
        <w:rPr>
          <w:i/>
          <w:sz w:val="20"/>
        </w:rPr>
        <w:t>Before you start:</w:t>
      </w:r>
    </w:p>
    <w:p w14:paraId="0699EC58" w14:textId="77777777" w:rsidR="00861695" w:rsidRDefault="00000000">
      <w:pPr>
        <w:spacing w:after="40"/>
        <w:ind w:left="432" w:hanging="216"/>
      </w:pPr>
      <w:r>
        <w:rPr>
          <w:sz w:val="22"/>
        </w:rPr>
        <w:t>•  Nothing. It is a short document and it is in your Moodle section.</w:t>
      </w:r>
    </w:p>
    <w:p w14:paraId="5A0CA404" w14:textId="77777777" w:rsidR="00861695" w:rsidRDefault="00000000">
      <w:pPr>
        <w:spacing w:after="40"/>
        <w:ind w:left="432" w:hanging="216"/>
      </w:pPr>
      <w:r>
        <w:rPr>
          <w:sz w:val="22"/>
        </w:rPr>
        <w:t>•  The firm in it is realistic but disguised. It is not a licensed Bahraini firm.</w:t>
      </w:r>
    </w:p>
    <w:p w14:paraId="31FD0233" w14:textId="77777777" w:rsidR="00861695" w:rsidRDefault="00000000">
      <w:r>
        <w:rPr>
          <w:sz w:val="20"/>
        </w:rPr>
        <w:t>If it does not work: If the file will not open, the lecturer projects it and the group works from the screen. The paragraph numbers let everyone point at the same thing.</w:t>
      </w:r>
    </w:p>
    <w:p w14:paraId="524A22B6" w14:textId="77777777" w:rsidR="00861695" w:rsidRDefault="00000000">
      <w:pPr>
        <w:spacing w:before="200" w:after="80"/>
      </w:pPr>
      <w:r>
        <w:rPr>
          <w:b/>
          <w:color w:val="1F4E79"/>
          <w:sz w:val="26"/>
        </w:rPr>
        <w:t>Task 1 - From the reading</w:t>
      </w:r>
    </w:p>
    <w:p w14:paraId="01228533" w14:textId="77777777" w:rsidR="00861695" w:rsidRDefault="00000000">
      <w:r>
        <w:rPr>
          <w:i/>
          <w:sz w:val="22"/>
        </w:rPr>
        <w:t>Answer the guiding questions from the structured extract.</w:t>
      </w:r>
    </w:p>
    <w:p w14:paraId="245CAA47" w14:textId="77777777" w:rsidR="00861695" w:rsidRDefault="00000000">
      <w:r>
        <w:rPr>
          <w:i/>
          <w:sz w:val="20"/>
        </w:rPr>
        <w:t>Expected: 2-3 sentences per question.</w:t>
      </w:r>
    </w:p>
    <w:p w14:paraId="11FD3AD7" w14:textId="77777777" w:rsidR="00861695" w:rsidRDefault="00000000">
      <w:r>
        <w:rPr>
          <w:b/>
          <w:sz w:val="22"/>
        </w:rPr>
        <w:t>Q1. Which chapter governs the custody of clients' crypto-assets?</w:t>
      </w:r>
    </w:p>
    <w:tbl>
      <w:tblPr>
        <w:tblW w:w="0" w:type="auto"/>
        <w:tblLook w:val="04A0" w:firstRow="1" w:lastRow="0" w:firstColumn="1" w:lastColumn="0" w:noHBand="0" w:noVBand="1"/>
      </w:tblPr>
      <w:tblGrid>
        <w:gridCol w:w="9350"/>
      </w:tblGrid>
      <w:tr w:rsidR="00861695" w14:paraId="01A2E038" w14:textId="77777777" w:rsidTr="00512879">
        <w:tc>
          <w:tcPr>
            <w:tcW w:w="9350" w:type="dxa"/>
            <w:tcBorders>
              <w:top w:val="single" w:sz="4" w:space="0" w:color="BFBFBF"/>
              <w:left w:val="single" w:sz="4" w:space="0" w:color="BFBFBF"/>
              <w:bottom w:val="single" w:sz="4" w:space="0" w:color="BFBFBF"/>
              <w:right w:val="single" w:sz="4" w:space="0" w:color="BFBFBF"/>
            </w:tcBorders>
          </w:tcPr>
          <w:p w14:paraId="3AC70F4D" w14:textId="58E0F33C" w:rsidR="00861695" w:rsidRDefault="008060F5" w:rsidP="008060F5">
            <w:r w:rsidRPr="008060F5">
              <w:t xml:space="preserve">Chapter CRA-8 of the Central Bank of Bahrain (CBB) Crypto-asset Module (CRA) governs the custody and safekeeping of clients' crypto-assets (Structured Extract, page 1). It requires licensed firms to protect client private keys using strong controls such as offline cold storage and to keep client holdings strictly segregated from the firm's own corporate assets. This segregation is essential because it ensures that retail customers do not lose </w:t>
            </w:r>
            <w:r w:rsidRPr="008060F5">
              <w:lastRenderedPageBreak/>
              <w:t>their property if the custodian suffers a cyber breach, internal misuse, or corporate insolvency.</w:t>
            </w:r>
          </w:p>
        </w:tc>
      </w:tr>
    </w:tbl>
    <w:p w14:paraId="78AA7F84" w14:textId="77777777" w:rsidR="00861695" w:rsidRDefault="00000000">
      <w:r>
        <w:rPr>
          <w:b/>
          <w:sz w:val="22"/>
        </w:rPr>
        <w:lastRenderedPageBreak/>
        <w:t>Q2. Which chapter carries the anti-money laundering (AML)/countering the financing of terrorism (CFT) Travel-Rule obligation?</w:t>
      </w:r>
    </w:p>
    <w:tbl>
      <w:tblPr>
        <w:tblW w:w="0" w:type="auto"/>
        <w:tblLook w:val="04A0" w:firstRow="1" w:lastRow="0" w:firstColumn="1" w:lastColumn="0" w:noHBand="0" w:noVBand="1"/>
      </w:tblPr>
      <w:tblGrid>
        <w:gridCol w:w="9350"/>
      </w:tblGrid>
      <w:tr w:rsidR="00861695" w14:paraId="31C51548" w14:textId="77777777" w:rsidTr="00512879">
        <w:tc>
          <w:tcPr>
            <w:tcW w:w="9350" w:type="dxa"/>
            <w:tcBorders>
              <w:top w:val="single" w:sz="4" w:space="0" w:color="BFBFBF"/>
              <w:left w:val="single" w:sz="4" w:space="0" w:color="BFBFBF"/>
              <w:bottom w:val="single" w:sz="4" w:space="0" w:color="BFBFBF"/>
              <w:right w:val="single" w:sz="4" w:space="0" w:color="BFBFBF"/>
            </w:tcBorders>
          </w:tcPr>
          <w:p w14:paraId="3FEAE7A2" w14:textId="2E682223" w:rsidR="00861695" w:rsidRDefault="008060F5" w:rsidP="008060F5">
            <w:r w:rsidRPr="008060F5">
              <w:t>Chapter CRA-7 of Module CRA carries the anti-money laundering (AML) and countering the financing of terrorism (CFT) obligations, including the international Travel Rule. Under this chapter, a licensed crypto-asset service provider must verify customer identities during onboarding and transmit both the sender's and the receiver's identity details alongside every crypto-asset transfer between firms. This obligation is necessary because public blockchain addresses are pseudonymous on-chain, meaning supervisors require off-chain identity records to trace illicit flows and prevent criminal money laundering or terrorist financing.</w:t>
            </w:r>
          </w:p>
        </w:tc>
      </w:tr>
    </w:tbl>
    <w:p w14:paraId="5533D816" w14:textId="77777777" w:rsidR="00861695" w:rsidRDefault="00000000">
      <w:r>
        <w:rPr>
          <w:b/>
          <w:sz w:val="22"/>
        </w:rPr>
        <w:t>Q3. For a sample exchange product, which three obligations look highest-risk?</w:t>
      </w:r>
    </w:p>
    <w:tbl>
      <w:tblPr>
        <w:tblW w:w="0" w:type="auto"/>
        <w:tblLook w:val="04A0" w:firstRow="1" w:lastRow="0" w:firstColumn="1" w:lastColumn="0" w:noHBand="0" w:noVBand="1"/>
      </w:tblPr>
      <w:tblGrid>
        <w:gridCol w:w="9350"/>
      </w:tblGrid>
      <w:tr w:rsidR="00861695" w14:paraId="2A13A1C9" w14:textId="77777777" w:rsidTr="00FC7D3C">
        <w:tc>
          <w:tcPr>
            <w:tcW w:w="9350" w:type="dxa"/>
            <w:tcBorders>
              <w:top w:val="single" w:sz="4" w:space="0" w:color="BFBFBF"/>
              <w:left w:val="single" w:sz="4" w:space="0" w:color="BFBFBF"/>
              <w:bottom w:val="single" w:sz="4" w:space="0" w:color="BFBFBF"/>
              <w:right w:val="single" w:sz="4" w:space="0" w:color="BFBFBF"/>
            </w:tcBorders>
          </w:tcPr>
          <w:p w14:paraId="40F5A04E" w14:textId="4AE4A3AA" w:rsidR="00861695" w:rsidRDefault="008060F5" w:rsidP="008060F5">
            <w:r w:rsidRPr="008060F5">
              <w:t xml:space="preserve">First, client asset custody and segregation under CRA-8 carries the highest risk because compromised private keys or commingled wallets result in immediate, irreversible loss of customer funds on the blockchain. Second, AML/CFT and Travel Rule compliance under CRA-7 ranks second because verifying identities and attaching off-chain party details across pseudonymous networks is operationally complex, and any compliance failure exposes the firm to </w:t>
            </w:r>
            <w:proofErr w:type="spellStart"/>
            <w:r w:rsidRPr="008060F5">
              <w:t>licence</w:t>
            </w:r>
            <w:proofErr w:type="spellEnd"/>
            <w:r w:rsidRPr="008060F5">
              <w:t xml:space="preserve"> revocation and criminal liability. Third, conduct of business and risk disclosure under CRA-12 ranks third because misleading retail promotions or undisclosed product risks during market downtime trigger severe CBB enforcement penalties, forced restitution, and reputational collapse.</w:t>
            </w:r>
          </w:p>
        </w:tc>
      </w:tr>
    </w:tbl>
    <w:p w14:paraId="73369FC4" w14:textId="77777777" w:rsidR="00861695" w:rsidRDefault="00000000">
      <w:pPr>
        <w:spacing w:before="200" w:after="80"/>
      </w:pPr>
      <w:r>
        <w:rPr>
          <w:b/>
          <w:color w:val="1F4E79"/>
          <w:sz w:val="26"/>
        </w:rPr>
        <w:t>Task 2 - Apply it (individual build task)</w:t>
      </w:r>
    </w:p>
    <w:p w14:paraId="119C1F1D" w14:textId="77777777" w:rsidR="00861695" w:rsidRDefault="00000000">
      <w:r>
        <w:rPr>
          <w:i/>
          <w:sz w:val="22"/>
        </w:rPr>
        <w:t>Now use the ideas from Task 1 to do this, in your own words:</w:t>
      </w:r>
    </w:p>
    <w:p w14:paraId="2D624738" w14:textId="77777777" w:rsidR="00861695" w:rsidRDefault="00000000">
      <w:r>
        <w:rPr>
          <w:b/>
          <w:sz w:val="22"/>
        </w:rPr>
        <w:t>For this stated obligation - 'a licensee must treat its retail customers fairly and disclose the risks of a product before selling it' - name the Crypto-asset Module (CRA) chapter that governs it and state its requirement in your own words at chapter scope.</w:t>
      </w:r>
    </w:p>
    <w:p w14:paraId="2E530537" w14:textId="77777777" w:rsidR="00861695" w:rsidRDefault="00000000">
      <w:r>
        <w:rPr>
          <w:i/>
          <w:sz w:val="20"/>
        </w:rPr>
        <w:t>Expected: 2-4 sentences (the chapter, plus its requirement in your own words).</w:t>
      </w:r>
    </w:p>
    <w:tbl>
      <w:tblPr>
        <w:tblW w:w="0" w:type="auto"/>
        <w:tblLook w:val="04A0" w:firstRow="1" w:lastRow="0" w:firstColumn="1" w:lastColumn="0" w:noHBand="0" w:noVBand="1"/>
      </w:tblPr>
      <w:tblGrid>
        <w:gridCol w:w="9350"/>
      </w:tblGrid>
      <w:tr w:rsidR="00861695" w14:paraId="734B8991" w14:textId="77777777" w:rsidTr="00FC7D3C">
        <w:tc>
          <w:tcPr>
            <w:tcW w:w="9350" w:type="dxa"/>
            <w:tcBorders>
              <w:top w:val="single" w:sz="4" w:space="0" w:color="BFBFBF"/>
              <w:left w:val="single" w:sz="4" w:space="0" w:color="BFBFBF"/>
              <w:bottom w:val="single" w:sz="4" w:space="0" w:color="BFBFBF"/>
              <w:right w:val="single" w:sz="4" w:space="0" w:color="BFBFBF"/>
            </w:tcBorders>
          </w:tcPr>
          <w:p w14:paraId="41FBC89A" w14:textId="6CA075AF" w:rsidR="00861695" w:rsidRDefault="008060F5" w:rsidP="008060F5">
            <w:r w:rsidRPr="008060F5">
              <w:t xml:space="preserve">Chapter CRA-12 (Conduct of Business) of CBB Rulebook Volume 6, Module CRA governs fair treatment and mandatory risk disclosure for retail customers. At the chapter level, it requires licensed crypto-asset service providers to act honestly, fairly, and transparently toward retail customers—who lack institutional risk-management teams—by ensuring </w:t>
            </w:r>
            <w:r w:rsidRPr="008060F5">
              <w:lastRenderedPageBreak/>
              <w:t>all communications and promotions are clear and not misleading. Before selling a product or onboarding a retail client, the licensee must prominently disclose all material risks—including price volatility, potential total loss of capital, third-party lending exposure, and system downtime—and maintain transparent procedures for handling customer complaints.</w:t>
            </w:r>
          </w:p>
        </w:tc>
      </w:tr>
    </w:tbl>
    <w:p w14:paraId="3547A656" w14:textId="77777777" w:rsidR="00861695" w:rsidRDefault="00000000">
      <w:pPr>
        <w:spacing w:before="200" w:after="80"/>
      </w:pPr>
      <w:r>
        <w:rPr>
          <w:b/>
          <w:color w:val="1F4E79"/>
          <w:sz w:val="26"/>
        </w:rPr>
        <w:lastRenderedPageBreak/>
        <w:t>Task 3 - Group activity (your own write-up)</w:t>
      </w:r>
    </w:p>
    <w:p w14:paraId="18C4FF18" w14:textId="77777777" w:rsidR="00861695" w:rsidRDefault="00000000">
      <w:r>
        <w:rPr>
          <w:b/>
          <w:sz w:val="22"/>
        </w:rPr>
        <w:t>Annotate a product against CRA.</w:t>
      </w:r>
    </w:p>
    <w:p w14:paraId="587B0AFE" w14:textId="77777777" w:rsidR="00861695" w:rsidRDefault="00000000">
      <w:r>
        <w:rPr>
          <w:i/>
          <w:sz w:val="22"/>
        </w:rPr>
        <w:t>In groups, annotate a one-page sample product against the CRA chapters; each files their own annotated map.</w:t>
      </w:r>
    </w:p>
    <w:p w14:paraId="036192DC" w14:textId="77777777" w:rsidR="00861695" w:rsidRDefault="00000000">
      <w:pPr>
        <w:spacing w:after="40"/>
        <w:ind w:left="432" w:hanging="216"/>
      </w:pPr>
      <w:r>
        <w:rPr>
          <w:sz w:val="22"/>
        </w:rPr>
        <w:t>•  Read the sample product description, IT8204 Week 5 Session 1 Sample Product v1.docx, in this session's Moodle section. It describes Dilmun Wallet, a Bahraini crypto-asset application.</w:t>
      </w:r>
    </w:p>
    <w:p w14:paraId="514BBA91" w14:textId="77777777" w:rsidR="00861695" w:rsidRDefault="00000000">
      <w:pPr>
        <w:spacing w:after="40"/>
        <w:ind w:left="432" w:hanging="216"/>
      </w:pPr>
      <w:r>
        <w:rPr>
          <w:sz w:val="22"/>
        </w:rPr>
        <w:t>•  Tag each requirement to the CRA chapter that governs it.</w:t>
      </w:r>
    </w:p>
    <w:p w14:paraId="614132CD" w14:textId="77777777" w:rsidR="00861695" w:rsidRDefault="00000000">
      <w:pPr>
        <w:spacing w:after="40"/>
        <w:ind w:left="432" w:hanging="216"/>
      </w:pPr>
      <w:r>
        <w:rPr>
          <w:sz w:val="22"/>
        </w:rPr>
        <w:t>•  Name the obligation you found least intuitive, and why.</w:t>
      </w:r>
    </w:p>
    <w:p w14:paraId="1D46D26B" w14:textId="77777777" w:rsidR="00861695" w:rsidRDefault="00000000">
      <w:pPr>
        <w:spacing w:after="40"/>
        <w:ind w:left="432" w:hanging="216"/>
      </w:pPr>
      <w:r>
        <w:rPr>
          <w:sz w:val="22"/>
        </w:rPr>
        <w:t xml:space="preserve">•  Flag anything the product would need a </w:t>
      </w:r>
      <w:proofErr w:type="spellStart"/>
      <w:r>
        <w:rPr>
          <w:sz w:val="22"/>
        </w:rPr>
        <w:t>licence</w:t>
      </w:r>
      <w:proofErr w:type="spellEnd"/>
      <w:r>
        <w:rPr>
          <w:sz w:val="22"/>
        </w:rPr>
        <w:t xml:space="preserve"> for.</w:t>
      </w:r>
    </w:p>
    <w:p w14:paraId="41031495" w14:textId="77777777" w:rsidR="00861695" w:rsidRDefault="00000000">
      <w:r>
        <w:rPr>
          <w:i/>
          <w:sz w:val="20"/>
        </w:rPr>
        <w:t>Expected: complete the activity above, then write your own answer of about half a page.</w:t>
      </w:r>
    </w:p>
    <w:p w14:paraId="2E397D6F" w14:textId="77777777" w:rsidR="00861695" w:rsidRDefault="00000000">
      <w:r>
        <w:rPr>
          <w:b/>
          <w:sz w:val="22"/>
        </w:rPr>
        <w:t>Write your own answer here:</w:t>
      </w:r>
    </w:p>
    <w:tbl>
      <w:tblPr>
        <w:tblW w:w="0" w:type="auto"/>
        <w:tblLook w:val="04A0" w:firstRow="1" w:lastRow="0" w:firstColumn="1" w:lastColumn="0" w:noHBand="0" w:noVBand="1"/>
      </w:tblPr>
      <w:tblGrid>
        <w:gridCol w:w="9350"/>
      </w:tblGrid>
      <w:tr w:rsidR="00861695" w14:paraId="523069DD" w14:textId="77777777" w:rsidTr="00FC7D3C">
        <w:tc>
          <w:tcPr>
            <w:tcW w:w="9350" w:type="dxa"/>
            <w:tcBorders>
              <w:top w:val="single" w:sz="4" w:space="0" w:color="BFBFBF"/>
              <w:left w:val="single" w:sz="4" w:space="0" w:color="BFBFBF"/>
              <w:bottom w:val="single" w:sz="4" w:space="0" w:color="BFBFBF"/>
              <w:right w:val="single" w:sz="4" w:space="0" w:color="BFBFBF"/>
            </w:tcBorders>
          </w:tcPr>
          <w:p w14:paraId="0D47560A" w14:textId="77777777" w:rsidR="004C2023" w:rsidRPr="004C2023" w:rsidRDefault="004C2023" w:rsidP="004C2023">
            <w:r w:rsidRPr="004C2023">
              <w:t xml:space="preserve">Mapping the nine paragraphs of the Dilmun Wallet product description against Volume 6, Module CRA of the Central Bank of Bahrain (CBB) Rulebook reveals obligations across six chapters. In Paragraph 1, launching a Manama-based retail application to buy, hold, send, and sell crypto-assets in Bahraini dinars across Bahrain and the GCC is governed by CRA-1 for prior institutional </w:t>
            </w:r>
            <w:proofErr w:type="spellStart"/>
            <w:r w:rsidRPr="004C2023">
              <w:t>authorisation</w:t>
            </w:r>
            <w:proofErr w:type="spellEnd"/>
            <w:r w:rsidRPr="004C2023">
              <w:t xml:space="preserve"> and CRA-2 for activity licensing. In Paragraph 2, approving customers remotely in under five minutes using an identity document and a selfie verified by an automated supplier without meeting in person is governed by CRA-7 for non-face-to-face customer due diligence and CRA-12 for retail age-eighteen verification controls. In Paragraph 3, holding customer private keys with ninety-five percent in offline cold storage and five percent in online wallets is governed by CRA-8 and CRA-2, and keeping client assets in the same wallets as the firm's own corporate treasury directly breaches the mandatory client-asset segregation rule in CRA-8. In Paragraph 4, attaching sender and receiver identity details to inter-firm transfers is governed by the Travel Rule in CRA-7, and the firm wrongly assumes that transfers to a customer's self-hosted phone wallet require no CRA-7 ownership verification or anti-money laundering screening. </w:t>
            </w:r>
          </w:p>
          <w:p w14:paraId="04BC686C" w14:textId="77777777" w:rsidR="004C2023" w:rsidRPr="004C2023" w:rsidRDefault="004C2023" w:rsidP="004C2023">
            <w:r w:rsidRPr="004C2023">
              <w:lastRenderedPageBreak/>
              <w:t xml:space="preserve">In Paragraph 5, operating the Dilmun Earn feature by lending pooled customer balances to two overseas trading firms for a nine percent return is governed by CRA-2 and CRA-8, while displaying the nine percent figure in large type and hiding the conditions behind a secondary link breaches the fair and prominent risk disclosure rules in CRA-12. In Paragraph 6, issuing the Dilmun Point token to the public to raise launch funds is governed by CRA-15 and CRA-1, meaning the firm cannot lawfully sell the token by merely posting a short website document two weeks before launch without prior CBB approval. In Paragraph 7, matching customer buy and sell orders internally on the firm's own price screen and order book is governed by CRA-2 and CRA-1 because it legally constitutes operating an exchange. In Paragraph 8, handling complaints via chat without a written outage procedure and staying silent during multi-hour trading halts breaches the transparency and complaint-handling rules in CRA-12. In Paragraph 9, advertising on radio and social media with the slogan 'grow your savings, safely' and paying influencers a commission per account opened violates the fair promotion rules in CRA-12. </w:t>
            </w:r>
          </w:p>
          <w:p w14:paraId="4AFE9FD8" w14:textId="77777777" w:rsidR="004C2023" w:rsidRPr="004C2023" w:rsidRDefault="004C2023" w:rsidP="004C2023">
            <w:r w:rsidRPr="004C2023">
              <w:t xml:space="preserve">Regarding </w:t>
            </w:r>
            <w:proofErr w:type="spellStart"/>
            <w:r w:rsidRPr="004C2023">
              <w:t>licence</w:t>
            </w:r>
            <w:proofErr w:type="spellEnd"/>
            <w:r w:rsidRPr="004C2023">
              <w:t xml:space="preserve"> needs under CRA-1 and CRA-2, Dilmun Digital Assets W.L.L. requires prior CBB </w:t>
            </w:r>
            <w:proofErr w:type="spellStart"/>
            <w:r w:rsidRPr="004C2023">
              <w:t>authorisation</w:t>
            </w:r>
            <w:proofErr w:type="spellEnd"/>
            <w:r w:rsidRPr="004C2023">
              <w:t xml:space="preserve"> across multiple categories. In Phase 1, the firm requires a Category 2 </w:t>
            </w:r>
            <w:proofErr w:type="spellStart"/>
            <w:r w:rsidRPr="004C2023">
              <w:t>licence</w:t>
            </w:r>
            <w:proofErr w:type="spellEnd"/>
            <w:r w:rsidRPr="004C2023">
              <w:t xml:space="preserve"> for custody and portfolio management to hold client keys in Paragraph 3 and manage pooled balances in Paragraph 5, alongside a Category 3 </w:t>
            </w:r>
            <w:proofErr w:type="spellStart"/>
            <w:r w:rsidRPr="004C2023">
              <w:t>licence</w:t>
            </w:r>
            <w:proofErr w:type="spellEnd"/>
            <w:r w:rsidRPr="004C2023">
              <w:t xml:space="preserve"> for dealing to route customer buy and sell orders in Paragraph 1. In Phase 2, matching customer orders internally in Paragraph 7 requires upgrading to a Category 4 </w:t>
            </w:r>
            <w:proofErr w:type="spellStart"/>
            <w:r w:rsidRPr="004C2023">
              <w:t>licence</w:t>
            </w:r>
            <w:proofErr w:type="spellEnd"/>
            <w:r w:rsidRPr="004C2023">
              <w:t xml:space="preserve">, which is the only CBB </w:t>
            </w:r>
            <w:proofErr w:type="spellStart"/>
            <w:r w:rsidRPr="004C2023">
              <w:t>licence</w:t>
            </w:r>
            <w:proofErr w:type="spellEnd"/>
            <w:r w:rsidRPr="004C2023">
              <w:t xml:space="preserve"> category that permits operating a crypto-asset exchange, while issuing the Dilmun Point token in Paragraph 6 requires prior CBB offering approval under CRA-15. </w:t>
            </w:r>
          </w:p>
          <w:p w14:paraId="6E8DD4FA" w14:textId="52A90B96" w:rsidR="00861695" w:rsidRDefault="004C2023" w:rsidP="004C2023">
            <w:r w:rsidRPr="004C2023">
              <w:t xml:space="preserve">The least intuitive obligation in this map is that matching customer buy and sell orders internally in Paragraph 7 requires a Category 4 Exchange </w:t>
            </w:r>
            <w:proofErr w:type="spellStart"/>
            <w:r w:rsidRPr="004C2023">
              <w:t>Licence</w:t>
            </w:r>
            <w:proofErr w:type="spellEnd"/>
            <w:r w:rsidRPr="004C2023">
              <w:t xml:space="preserve"> under CRA-2. While the firm's software team views internal order matching as a simple back-end technical improvement that removes an external supplier and lowers costs, the CBB regulates by economic function because running an internal order book and price screen creates price-discovery and market-manipulation risks that only a Category 4 exchange operator is permitted to manage. Finally, ranking the highest-risk obligations by consequence places client custody and segregation under CRA-8 first because commingled wallets in Paragraph 3 expose customers to immediate total loss in bankruptcy, followed second by AML and Travel Rule compliance under CRA-7 because unscreened self-hosted transfers in Paragraph 4 trigger </w:t>
            </w:r>
            <w:proofErr w:type="spellStart"/>
            <w:r w:rsidRPr="004C2023">
              <w:t>licence</w:t>
            </w:r>
            <w:proofErr w:type="spellEnd"/>
            <w:r w:rsidRPr="004C2023">
              <w:t xml:space="preserve"> revocation and criminal liability, and third by conduct of </w:t>
            </w:r>
            <w:r w:rsidRPr="004C2023">
              <w:lastRenderedPageBreak/>
              <w:t>business under CRA-12 because misleading 'safe savings' ads and overseas lending yields in Paragraphs 5 and 9 expose retail users to unwarned counterparty default.</w:t>
            </w:r>
          </w:p>
        </w:tc>
      </w:tr>
    </w:tbl>
    <w:p w14:paraId="6DFDE5DE" w14:textId="77777777" w:rsidR="00861695"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4076"/>
        <w:gridCol w:w="5274"/>
      </w:tblGrid>
      <w:tr w:rsidR="00861695" w14:paraId="316DAC20" w14:textId="77777777">
        <w:tc>
          <w:tcPr>
            <w:tcW w:w="4176" w:type="dxa"/>
            <w:tcBorders>
              <w:top w:val="single" w:sz="4" w:space="0" w:color="BFBFBF"/>
              <w:left w:val="single" w:sz="4" w:space="0" w:color="BFBFBF"/>
              <w:bottom w:val="single" w:sz="4" w:space="0" w:color="BFBFBF"/>
              <w:right w:val="single" w:sz="4" w:space="0" w:color="BFBFBF"/>
            </w:tcBorders>
          </w:tcPr>
          <w:p w14:paraId="40685568" w14:textId="77777777" w:rsidR="00861695" w:rsidRDefault="00000000">
            <w:r>
              <w:rPr>
                <w:b/>
                <w:sz w:val="20"/>
              </w:rPr>
              <w:t>Sources I used (if any)</w:t>
            </w:r>
          </w:p>
        </w:tc>
        <w:tc>
          <w:tcPr>
            <w:tcW w:w="5328" w:type="dxa"/>
            <w:tcBorders>
              <w:top w:val="single" w:sz="4" w:space="0" w:color="BFBFBF"/>
              <w:left w:val="single" w:sz="4" w:space="0" w:color="BFBFBF"/>
              <w:bottom w:val="single" w:sz="4" w:space="0" w:color="BFBFBF"/>
              <w:right w:val="single" w:sz="4" w:space="0" w:color="BFBFBF"/>
            </w:tcBorders>
          </w:tcPr>
          <w:p w14:paraId="043E9432" w14:textId="13300AFD" w:rsidR="008060F5" w:rsidRPr="008060F5" w:rsidRDefault="008060F5" w:rsidP="00FE2D0C">
            <w:pPr>
              <w:pStyle w:val="ListParagraph"/>
              <w:numPr>
                <w:ilvl w:val="0"/>
                <w:numId w:val="2"/>
              </w:numPr>
            </w:pPr>
            <w:r w:rsidRPr="008060F5">
              <w:t xml:space="preserve">Bahrain Polytechnic. (2026). </w:t>
            </w:r>
            <w:r w:rsidRPr="008060F5">
              <w:rPr>
                <w:i/>
                <w:iCs/>
              </w:rPr>
              <w:t>IT8204 Week 5 Session 1: Structured Extract (page 1), Visual Reading, Opener Slides, and Sample Product Description v1 (Dilmun Wallet, Paragraphs 1–9)</w:t>
            </w:r>
            <w:r w:rsidRPr="008060F5">
              <w:t xml:space="preserve">. </w:t>
            </w:r>
          </w:p>
          <w:p w14:paraId="6FC7EF0B" w14:textId="3B8ED67F" w:rsidR="008060F5" w:rsidRPr="008060F5" w:rsidRDefault="008060F5" w:rsidP="008060F5">
            <w:pPr>
              <w:pStyle w:val="ListParagraph"/>
              <w:numPr>
                <w:ilvl w:val="0"/>
                <w:numId w:val="2"/>
              </w:numPr>
            </w:pPr>
            <w:r w:rsidRPr="008060F5">
              <w:t xml:space="preserve">Central Bank of Bahrain. (2022). </w:t>
            </w:r>
            <w:r w:rsidRPr="008060F5">
              <w:rPr>
                <w:i/>
                <w:iCs/>
              </w:rPr>
              <w:t>CBB Rulebook, Volume 6: Capital Markets, Module CRA (Crypto-asset)</w:t>
            </w:r>
            <w:r w:rsidRPr="008060F5">
              <w:t>, Chapters CRA-1 (</w:t>
            </w:r>
            <w:proofErr w:type="spellStart"/>
            <w:r w:rsidRPr="008060F5">
              <w:t>Authorisation</w:t>
            </w:r>
            <w:proofErr w:type="spellEnd"/>
            <w:r w:rsidRPr="008060F5">
              <w:t>), CRA-2 (Licensing Categories), CRA-7 (AML/CFT and Travel Rule), CRA-8 (Crypto-asset Custody), CRA-12 (Conduct of Business), and CRA-15 (Digital Tokens). Manama: Central Bank of Bahrain (</w:t>
            </w:r>
            <w:hyperlink r:id="rId8" w:tgtFrame="_blank" w:history="1">
              <w:r w:rsidRPr="008060F5">
                <w:rPr>
                  <w:rStyle w:val="Hyperlink"/>
                </w:rPr>
                <w:t>https://www.cbb.gov.bh</w:t>
              </w:r>
            </w:hyperlink>
            <w:r w:rsidRPr="008060F5">
              <w:t xml:space="preserve">). </w:t>
            </w:r>
          </w:p>
          <w:p w14:paraId="642A71A1" w14:textId="61E1DC6C" w:rsidR="008060F5" w:rsidRPr="008060F5" w:rsidRDefault="008060F5" w:rsidP="008060F5">
            <w:pPr>
              <w:pStyle w:val="ListParagraph"/>
              <w:numPr>
                <w:ilvl w:val="0"/>
                <w:numId w:val="2"/>
              </w:numPr>
            </w:pPr>
            <w:r w:rsidRPr="008060F5">
              <w:t xml:space="preserve">Central Bank of Bahrain. (2026). </w:t>
            </w:r>
            <w:r w:rsidRPr="008060F5">
              <w:rPr>
                <w:i/>
                <w:iCs/>
              </w:rPr>
              <w:t>FinTech and Innovation / Regulatory Sandbox Framework</w:t>
            </w:r>
            <w:r w:rsidRPr="008060F5">
              <w:t xml:space="preserve"> (</w:t>
            </w:r>
            <w:hyperlink r:id="rId9" w:tgtFrame="_blank" w:history="1">
              <w:r w:rsidRPr="008060F5">
                <w:rPr>
                  <w:rStyle w:val="Hyperlink"/>
                </w:rPr>
                <w:t>https://www.cbb.gov.bh</w:t>
              </w:r>
            </w:hyperlink>
            <w:r w:rsidRPr="008060F5">
              <w:t>).</w:t>
            </w:r>
          </w:p>
          <w:p w14:paraId="7DA15603" w14:textId="7401CDBC" w:rsidR="00861695" w:rsidRDefault="00861695" w:rsidP="00FC7D3C">
            <w:pPr>
              <w:pStyle w:val="ListParagraph"/>
              <w:numPr>
                <w:ilvl w:val="0"/>
                <w:numId w:val="2"/>
              </w:numPr>
            </w:pPr>
          </w:p>
        </w:tc>
      </w:tr>
    </w:tbl>
    <w:p w14:paraId="577104FD" w14:textId="77777777" w:rsidR="00861695" w:rsidRDefault="00000000">
      <w:pPr>
        <w:spacing w:before="200" w:after="80"/>
      </w:pPr>
      <w:r>
        <w:rPr>
          <w:b/>
          <w:color w:val="1F4E79"/>
          <w:sz w:val="26"/>
        </w:rPr>
        <w:t>Before you submit</w:t>
      </w:r>
    </w:p>
    <w:p w14:paraId="25D9550C" w14:textId="77777777" w:rsidR="00861695" w:rsidRDefault="00000000">
      <w:pPr>
        <w:spacing w:after="40"/>
        <w:ind w:left="432" w:hanging="216"/>
      </w:pPr>
      <w:r>
        <w:rPr>
          <w:sz w:val="22"/>
        </w:rPr>
        <w:t>•  Your name and student ID are filled in.</w:t>
      </w:r>
    </w:p>
    <w:p w14:paraId="1DA07FDC" w14:textId="77777777" w:rsidR="00861695" w:rsidRDefault="00000000">
      <w:pPr>
        <w:spacing w:after="40"/>
        <w:ind w:left="432" w:hanging="216"/>
      </w:pPr>
      <w:r>
        <w:rPr>
          <w:sz w:val="22"/>
        </w:rPr>
        <w:t>•  All tasks are attempted.</w:t>
      </w:r>
    </w:p>
    <w:p w14:paraId="3155CDE0" w14:textId="77777777" w:rsidR="00861695" w:rsidRDefault="00000000">
      <w:pPr>
        <w:spacing w:after="40"/>
        <w:ind w:left="432" w:hanging="216"/>
      </w:pPr>
      <w:r>
        <w:rPr>
          <w:sz w:val="22"/>
        </w:rPr>
        <w:t>•  Submit this sheet before you leave today, to the Week 5 weekly worksheets link on Moodle. That same link takes both of the Week 5 weekly worksheets, one per session.</w:t>
      </w:r>
    </w:p>
    <w:p w14:paraId="43C7D1A2" w14:textId="77777777" w:rsidR="00861695" w:rsidRDefault="00000000">
      <w:pPr>
        <w:spacing w:after="40"/>
        <w:ind w:left="432" w:hanging="216"/>
      </w:pPr>
      <w:r>
        <w:rPr>
          <w:sz w:val="22"/>
        </w:rPr>
        <w:t>•  If you need more time, finish it at home and submit to the same link by Friday 16 October 2026, 23:59. That is the deadline for both Week 5 sheets.</w:t>
      </w:r>
    </w:p>
    <w:p w14:paraId="63C203B9" w14:textId="77777777" w:rsidR="00861695" w:rsidRDefault="00000000">
      <w:pPr>
        <w:spacing w:after="40"/>
        <w:ind w:left="432" w:hanging="216"/>
      </w:pPr>
      <w:r>
        <w:rPr>
          <w:sz w:val="22"/>
        </w:rPr>
        <w:t>•  Both weekly worksheets are marked together in one Week 5 marking sheet worth 2.50 percent of the course.</w:t>
      </w:r>
    </w:p>
    <w:p w14:paraId="2515C22D" w14:textId="77777777" w:rsidR="00861695" w:rsidRDefault="00000000">
      <w:pPr>
        <w:spacing w:after="40"/>
        <w:ind w:left="432" w:hanging="216"/>
      </w:pPr>
      <w:r>
        <w:rPr>
          <w:sz w:val="22"/>
        </w:rPr>
        <w:t>•  You may use your notes and the session readings. Every worksheet is your own work.</w:t>
      </w:r>
    </w:p>
    <w:sectPr w:rsidR="0086169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CF17" w14:textId="77777777" w:rsidR="00BB7215" w:rsidRDefault="00BB7215" w:rsidP="002F5FE7">
      <w:pPr>
        <w:spacing w:after="0" w:line="240" w:lineRule="auto"/>
      </w:pPr>
      <w:r>
        <w:separator/>
      </w:r>
    </w:p>
  </w:endnote>
  <w:endnote w:type="continuationSeparator" w:id="0">
    <w:p w14:paraId="3540B107" w14:textId="77777777" w:rsidR="00BB7215" w:rsidRDefault="00BB7215"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28F9AE0" w14:textId="77777777">
      <w:tc>
        <w:tcPr>
          <w:tcW w:w="2500" w:type="pct"/>
          <w:tcBorders>
            <w:top w:val="nil"/>
            <w:left w:val="nil"/>
            <w:bottom w:val="nil"/>
            <w:right w:val="nil"/>
          </w:tcBorders>
        </w:tcPr>
        <w:p w14:paraId="41FCE3C8"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1DBB393D"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4A354251"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4D3E43F2" w14:textId="77777777">
      <w:tc>
        <w:tcPr>
          <w:tcW w:w="2500" w:type="pct"/>
          <w:tcBorders>
            <w:top w:val="nil"/>
            <w:left w:val="nil"/>
            <w:bottom w:val="nil"/>
            <w:right w:val="nil"/>
          </w:tcBorders>
        </w:tcPr>
        <w:p w14:paraId="79D6D94E"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425B8D08"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68C18529"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8513"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0E645" w14:textId="77777777" w:rsidR="00BB7215" w:rsidRDefault="00BB7215" w:rsidP="002F5FE7">
      <w:pPr>
        <w:spacing w:after="0" w:line="240" w:lineRule="auto"/>
      </w:pPr>
      <w:r>
        <w:separator/>
      </w:r>
    </w:p>
  </w:footnote>
  <w:footnote w:type="continuationSeparator" w:id="0">
    <w:p w14:paraId="4BAF630D" w14:textId="77777777" w:rsidR="00BB7215" w:rsidRDefault="00BB7215"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419A"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BBDB" w14:textId="77777777" w:rsidR="00861695" w:rsidRDefault="00000000">
    <w:pPr>
      <w:jc w:val="center"/>
    </w:pPr>
    <w:r>
      <w:rPr>
        <w:b/>
        <w:color w:val="1F4E79"/>
        <w:sz w:val="20"/>
      </w:rPr>
      <w:t>IT8204 Week 5 Session 1 Worksheet v1.0</w:t>
    </w:r>
  </w:p>
  <w:p w14:paraId="6F78C016"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4B77" w14:textId="77777777" w:rsidR="002F5FE7" w:rsidRDefault="002F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1D9"/>
    <w:multiLevelType w:val="multilevel"/>
    <w:tmpl w:val="C5D4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11684"/>
    <w:multiLevelType w:val="hybridMultilevel"/>
    <w:tmpl w:val="41945680"/>
    <w:lvl w:ilvl="0" w:tplc="D792B1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73528D"/>
    <w:multiLevelType w:val="multilevel"/>
    <w:tmpl w:val="61FA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405613">
    <w:abstractNumId w:val="2"/>
  </w:num>
  <w:num w:numId="2" w16cid:durableId="890575135">
    <w:abstractNumId w:val="1"/>
  </w:num>
  <w:num w:numId="3" w16cid:durableId="151148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03D4"/>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023"/>
    <w:rsid w:val="004C2A29"/>
    <w:rsid w:val="004C3ED5"/>
    <w:rsid w:val="004D1A3A"/>
    <w:rsid w:val="004D30A3"/>
    <w:rsid w:val="004D4F25"/>
    <w:rsid w:val="004D72C7"/>
    <w:rsid w:val="004E70BF"/>
    <w:rsid w:val="004F014E"/>
    <w:rsid w:val="004F0A89"/>
    <w:rsid w:val="005074D6"/>
    <w:rsid w:val="005112B0"/>
    <w:rsid w:val="00512402"/>
    <w:rsid w:val="00512879"/>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82940"/>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0F5"/>
    <w:rsid w:val="008061CC"/>
    <w:rsid w:val="0080658B"/>
    <w:rsid w:val="0081132B"/>
    <w:rsid w:val="0082027A"/>
    <w:rsid w:val="00822D45"/>
    <w:rsid w:val="008310A7"/>
    <w:rsid w:val="00846FA1"/>
    <w:rsid w:val="00847FB4"/>
    <w:rsid w:val="00850670"/>
    <w:rsid w:val="00856042"/>
    <w:rsid w:val="0085791C"/>
    <w:rsid w:val="0085798E"/>
    <w:rsid w:val="008607F1"/>
    <w:rsid w:val="00861695"/>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4E97"/>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215"/>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6362"/>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5AF6"/>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587E"/>
    <w:rsid w:val="00E96CD0"/>
    <w:rsid w:val="00EA27A5"/>
    <w:rsid w:val="00EA3E0C"/>
    <w:rsid w:val="00EA5B19"/>
    <w:rsid w:val="00EA5D37"/>
    <w:rsid w:val="00EA69E0"/>
    <w:rsid w:val="00EB6B2F"/>
    <w:rsid w:val="00EC10F6"/>
    <w:rsid w:val="00EC5C02"/>
    <w:rsid w:val="00ED196A"/>
    <w:rsid w:val="00ED3CA2"/>
    <w:rsid w:val="00EF647C"/>
    <w:rsid w:val="00F0254B"/>
    <w:rsid w:val="00F0331C"/>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C7D3C"/>
    <w:rsid w:val="00FE2D0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8557"/>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FC7D3C"/>
    <w:rPr>
      <w:color w:val="467886" w:themeColor="hyperlink"/>
      <w:u w:val="single"/>
    </w:rPr>
  </w:style>
  <w:style w:type="character" w:styleId="UnresolvedMention">
    <w:name w:val="Unresolved Mention"/>
    <w:basedOn w:val="DefaultParagraphFont"/>
    <w:uiPriority w:val="99"/>
    <w:semiHidden/>
    <w:unhideWhenUsed/>
    <w:rsid w:val="008060F5"/>
    <w:rPr>
      <w:color w:val="605E5C"/>
      <w:shd w:val="clear" w:color="auto" w:fill="E1DFDD"/>
    </w:rPr>
  </w:style>
  <w:style w:type="character" w:styleId="FollowedHyperlink">
    <w:name w:val="FollowedHyperlink"/>
    <w:basedOn w:val="DefaultParagraphFont"/>
    <w:uiPriority w:val="99"/>
    <w:semiHidden/>
    <w:unhideWhenUsed/>
    <w:rsid w:val="008060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b.gov.bh/"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cbb.gov.bh"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bb.gov.bh/"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8</cp:revision>
  <dcterms:created xsi:type="dcterms:W3CDTF">2026-05-16T22:44:00Z</dcterms:created>
  <dcterms:modified xsi:type="dcterms:W3CDTF">2026-10-16T16:52:00Z</dcterms:modified>
</cp:coreProperties>
</file>