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E398" w14:textId="77777777" w:rsidR="00330D2D" w:rsidRDefault="00000000">
      <w:r>
        <w:rPr>
          <w:b/>
          <w:color w:val="1F4E79"/>
          <w:sz w:val="36"/>
        </w:rPr>
        <w:t>Worksheet - The Central Bank Sandbox Pathway, and Bahrain's Licensed Firms</w:t>
      </w:r>
    </w:p>
    <w:p w14:paraId="26923821" w14:textId="77777777" w:rsidR="00330D2D" w:rsidRDefault="00000000">
      <w:r>
        <w:rPr>
          <w:b/>
          <w:color w:val="1F4E79"/>
        </w:rPr>
        <w:t>Week 5, Session 2  |  Assessment 2 (A2) - the weekly worksheets  |  You submit this yourself</w:t>
      </w:r>
    </w:p>
    <w:p w14:paraId="528011C5" w14:textId="77777777" w:rsidR="00330D2D" w:rsidRDefault="00000000">
      <w:r>
        <w:rPr>
          <w:i/>
          <w:color w:val="808080"/>
          <w:sz w:val="18"/>
        </w:rPr>
        <w:t>Complete it in class and submit it on Moodle before you leave.</w:t>
      </w:r>
    </w:p>
    <w:p w14:paraId="16368CDC" w14:textId="77777777" w:rsidR="00330D2D" w:rsidRDefault="00000000">
      <w:pPr>
        <w:spacing w:before="200" w:after="80"/>
      </w:pPr>
      <w:r>
        <w:rPr>
          <w:b/>
          <w:color w:val="1F4E79"/>
          <w:sz w:val="26"/>
        </w:rPr>
        <w:t>Your details (not marked)</w:t>
      </w:r>
    </w:p>
    <w:tbl>
      <w:tblPr>
        <w:tblW w:w="0" w:type="auto"/>
        <w:tblLook w:val="04A0" w:firstRow="1" w:lastRow="0" w:firstColumn="1" w:lastColumn="0" w:noHBand="0" w:noVBand="1"/>
      </w:tblPr>
      <w:tblGrid>
        <w:gridCol w:w="3683"/>
        <w:gridCol w:w="5667"/>
      </w:tblGrid>
      <w:tr w:rsidR="00330D2D" w14:paraId="10711ADA" w14:textId="77777777">
        <w:tc>
          <w:tcPr>
            <w:tcW w:w="3744" w:type="dxa"/>
            <w:tcBorders>
              <w:top w:val="single" w:sz="4" w:space="0" w:color="BFBFBF"/>
              <w:left w:val="single" w:sz="4" w:space="0" w:color="BFBFBF"/>
              <w:bottom w:val="single" w:sz="4" w:space="0" w:color="BFBFBF"/>
              <w:right w:val="single" w:sz="4" w:space="0" w:color="BFBFBF"/>
            </w:tcBorders>
          </w:tcPr>
          <w:p w14:paraId="45C682AD" w14:textId="77777777" w:rsidR="00330D2D" w:rsidRDefault="00000000">
            <w:r>
              <w:rPr>
                <w:b/>
                <w:sz w:val="20"/>
              </w:rPr>
              <w:t>Full name</w:t>
            </w:r>
          </w:p>
        </w:tc>
        <w:tc>
          <w:tcPr>
            <w:tcW w:w="5760" w:type="dxa"/>
            <w:tcBorders>
              <w:top w:val="single" w:sz="4" w:space="0" w:color="BFBFBF"/>
              <w:left w:val="single" w:sz="4" w:space="0" w:color="BFBFBF"/>
              <w:bottom w:val="single" w:sz="4" w:space="0" w:color="BFBFBF"/>
              <w:right w:val="single" w:sz="4" w:space="0" w:color="BFBFBF"/>
            </w:tcBorders>
          </w:tcPr>
          <w:p w14:paraId="6B900DDF" w14:textId="64311B44" w:rsidR="00330D2D" w:rsidRDefault="0043716F">
            <w:r w:rsidRPr="00512879">
              <w:t>Meqdad Muhana</w:t>
            </w:r>
          </w:p>
        </w:tc>
      </w:tr>
      <w:tr w:rsidR="00330D2D" w14:paraId="3A4C931C" w14:textId="77777777">
        <w:tc>
          <w:tcPr>
            <w:tcW w:w="3744" w:type="dxa"/>
            <w:tcBorders>
              <w:top w:val="single" w:sz="4" w:space="0" w:color="BFBFBF"/>
              <w:left w:val="single" w:sz="4" w:space="0" w:color="BFBFBF"/>
              <w:bottom w:val="single" w:sz="4" w:space="0" w:color="BFBFBF"/>
              <w:right w:val="single" w:sz="4" w:space="0" w:color="BFBFBF"/>
            </w:tcBorders>
          </w:tcPr>
          <w:p w14:paraId="5E1FD3F7" w14:textId="77777777" w:rsidR="00330D2D" w:rsidRDefault="00000000">
            <w:r>
              <w:rPr>
                <w:b/>
                <w:sz w:val="20"/>
              </w:rPr>
              <w:t>Student ID</w:t>
            </w:r>
          </w:p>
        </w:tc>
        <w:tc>
          <w:tcPr>
            <w:tcW w:w="5760" w:type="dxa"/>
            <w:tcBorders>
              <w:top w:val="single" w:sz="4" w:space="0" w:color="BFBFBF"/>
              <w:left w:val="single" w:sz="4" w:space="0" w:color="BFBFBF"/>
              <w:bottom w:val="single" w:sz="4" w:space="0" w:color="BFBFBF"/>
              <w:right w:val="single" w:sz="4" w:space="0" w:color="BFBFBF"/>
            </w:tcBorders>
          </w:tcPr>
          <w:p w14:paraId="0613A278" w14:textId="4B8057DA" w:rsidR="00330D2D" w:rsidRDefault="0043716F">
            <w:r>
              <w:t>202306213</w:t>
            </w:r>
          </w:p>
        </w:tc>
      </w:tr>
      <w:tr w:rsidR="00330D2D" w14:paraId="5089F41F" w14:textId="77777777">
        <w:tc>
          <w:tcPr>
            <w:tcW w:w="3744" w:type="dxa"/>
            <w:tcBorders>
              <w:top w:val="single" w:sz="4" w:space="0" w:color="BFBFBF"/>
              <w:left w:val="single" w:sz="4" w:space="0" w:color="BFBFBF"/>
              <w:bottom w:val="single" w:sz="4" w:space="0" w:color="BFBFBF"/>
              <w:right w:val="single" w:sz="4" w:space="0" w:color="BFBFBF"/>
            </w:tcBorders>
          </w:tcPr>
          <w:p w14:paraId="26B477E2" w14:textId="77777777" w:rsidR="00330D2D" w:rsidRDefault="00000000">
            <w:r>
              <w:rPr>
                <w:b/>
                <w:sz w:val="20"/>
              </w:rPr>
              <w:t>Today's partner / group</w:t>
            </w:r>
          </w:p>
        </w:tc>
        <w:tc>
          <w:tcPr>
            <w:tcW w:w="5760" w:type="dxa"/>
            <w:tcBorders>
              <w:top w:val="single" w:sz="4" w:space="0" w:color="BFBFBF"/>
              <w:left w:val="single" w:sz="4" w:space="0" w:color="BFBFBF"/>
              <w:bottom w:val="single" w:sz="4" w:space="0" w:color="BFBFBF"/>
              <w:right w:val="single" w:sz="4" w:space="0" w:color="BFBFBF"/>
            </w:tcBorders>
          </w:tcPr>
          <w:p w14:paraId="7467E35A" w14:textId="4F20223D" w:rsidR="00330D2D" w:rsidRDefault="0043716F">
            <w:r w:rsidRPr="00512879">
              <w:t>Ali Mohammed Radhi</w:t>
            </w:r>
            <w:r>
              <w:t xml:space="preserve"> – </w:t>
            </w:r>
            <w:r w:rsidRPr="00512879">
              <w:t>202304871</w:t>
            </w:r>
            <w:r>
              <w:t xml:space="preserve">, </w:t>
            </w:r>
            <w:r w:rsidRPr="00512879">
              <w:t xml:space="preserve">Sayed Ali Mahmood </w:t>
            </w:r>
            <w:r>
              <w:t xml:space="preserve">- </w:t>
            </w:r>
            <w:r w:rsidRPr="00512879">
              <w:t>202301601</w:t>
            </w:r>
          </w:p>
        </w:tc>
      </w:tr>
    </w:tbl>
    <w:p w14:paraId="57672FFD" w14:textId="77777777" w:rsidR="00330D2D" w:rsidRDefault="00000000">
      <w:pPr>
        <w:spacing w:before="200" w:after="80"/>
      </w:pPr>
      <w:r>
        <w:rPr>
          <w:b/>
          <w:color w:val="1F4E79"/>
          <w:sz w:val="26"/>
        </w:rPr>
        <w:t>How this worksheet works</w:t>
      </w:r>
    </w:p>
    <w:p w14:paraId="2CA8D7E0" w14:textId="77777777" w:rsidR="00330D2D" w:rsidRDefault="00000000">
      <w:pPr>
        <w:spacing w:after="40"/>
        <w:ind w:left="432" w:hanging="216"/>
      </w:pPr>
      <w:r>
        <w:rPr>
          <w:sz w:val="22"/>
        </w:rPr>
        <w:t>•  This worksheet counts towards Assessment 2. You complete and submit it yourself, even when you work with others.</w:t>
      </w:r>
    </w:p>
    <w:p w14:paraId="646E737B" w14:textId="77777777" w:rsidR="00330D2D" w:rsidRDefault="00000000">
      <w:pPr>
        <w:spacing w:after="40"/>
        <w:ind w:left="432" w:hanging="216"/>
      </w:pPr>
      <w:r>
        <w:rPr>
          <w:sz w:val="22"/>
        </w:rPr>
        <w:t>•  Write your answers in your own words, and list any sources you used in Task 4.</w:t>
      </w:r>
    </w:p>
    <w:p w14:paraId="7C511DFB" w14:textId="77777777" w:rsidR="00330D2D" w:rsidRDefault="00000000">
      <w:pPr>
        <w:spacing w:before="200" w:after="80"/>
      </w:pPr>
      <w:r>
        <w:rPr>
          <w:b/>
          <w:color w:val="1F4E79"/>
          <w:sz w:val="26"/>
        </w:rPr>
        <w:t>Words to know</w:t>
      </w:r>
    </w:p>
    <w:p w14:paraId="4EF82064" w14:textId="77777777" w:rsidR="00330D2D" w:rsidRDefault="00000000">
      <w:r>
        <w:rPr>
          <w:i/>
          <w:sz w:val="20"/>
        </w:rPr>
        <w:t>These are the words this worksheet uses. You are not marked on the definitions themselves, only on using the ideas.</w:t>
      </w:r>
    </w:p>
    <w:tbl>
      <w:tblPr>
        <w:tblW w:w="0" w:type="auto"/>
        <w:tblLook w:val="04A0" w:firstRow="1" w:lastRow="0" w:firstColumn="1" w:lastColumn="0" w:noHBand="0" w:noVBand="1"/>
      </w:tblPr>
      <w:tblGrid>
        <w:gridCol w:w="2843"/>
        <w:gridCol w:w="6507"/>
      </w:tblGrid>
      <w:tr w:rsidR="00330D2D" w14:paraId="6D09AD33" w14:textId="77777777">
        <w:tc>
          <w:tcPr>
            <w:tcW w:w="2880" w:type="dxa"/>
            <w:tcBorders>
              <w:top w:val="single" w:sz="4" w:space="0" w:color="BFBFBF"/>
              <w:left w:val="single" w:sz="4" w:space="0" w:color="BFBFBF"/>
              <w:bottom w:val="single" w:sz="4" w:space="0" w:color="BFBFBF"/>
              <w:right w:val="single" w:sz="4" w:space="0" w:color="BFBFBF"/>
            </w:tcBorders>
            <w:shd w:val="clear" w:color="auto" w:fill="1F4E79"/>
          </w:tcPr>
          <w:p w14:paraId="1FFF800F" w14:textId="77777777" w:rsidR="00330D2D" w:rsidRDefault="00000000">
            <w:r>
              <w:rPr>
                <w:b/>
                <w:color w:val="FFFFFF"/>
                <w:sz w:val="20"/>
              </w:rPr>
              <w:t>Term</w:t>
            </w:r>
          </w:p>
        </w:tc>
        <w:tc>
          <w:tcPr>
            <w:tcW w:w="6624" w:type="dxa"/>
            <w:tcBorders>
              <w:top w:val="single" w:sz="4" w:space="0" w:color="BFBFBF"/>
              <w:left w:val="single" w:sz="4" w:space="0" w:color="BFBFBF"/>
              <w:bottom w:val="single" w:sz="4" w:space="0" w:color="BFBFBF"/>
              <w:right w:val="single" w:sz="4" w:space="0" w:color="BFBFBF"/>
            </w:tcBorders>
            <w:shd w:val="clear" w:color="auto" w:fill="1F4E79"/>
          </w:tcPr>
          <w:p w14:paraId="27E09039" w14:textId="77777777" w:rsidR="00330D2D" w:rsidRDefault="00000000">
            <w:r>
              <w:rPr>
                <w:b/>
                <w:color w:val="FFFFFF"/>
                <w:sz w:val="20"/>
              </w:rPr>
              <w:t>Plain meaning</w:t>
            </w:r>
          </w:p>
        </w:tc>
      </w:tr>
      <w:tr w:rsidR="00330D2D" w14:paraId="28986E77" w14:textId="77777777">
        <w:tc>
          <w:tcPr>
            <w:tcW w:w="2880" w:type="dxa"/>
            <w:tcBorders>
              <w:top w:val="single" w:sz="4" w:space="0" w:color="BFBFBF"/>
              <w:left w:val="single" w:sz="4" w:space="0" w:color="BFBFBF"/>
              <w:bottom w:val="single" w:sz="4" w:space="0" w:color="BFBFBF"/>
              <w:right w:val="single" w:sz="4" w:space="0" w:color="BFBFBF"/>
            </w:tcBorders>
          </w:tcPr>
          <w:p w14:paraId="27467D35" w14:textId="77777777" w:rsidR="00330D2D" w:rsidRDefault="00000000">
            <w:r>
              <w:rPr>
                <w:sz w:val="20"/>
              </w:rPr>
              <w:t>Regulatory sandbox</w:t>
            </w:r>
          </w:p>
        </w:tc>
        <w:tc>
          <w:tcPr>
            <w:tcW w:w="6624" w:type="dxa"/>
            <w:tcBorders>
              <w:top w:val="single" w:sz="4" w:space="0" w:color="BFBFBF"/>
              <w:left w:val="single" w:sz="4" w:space="0" w:color="BFBFBF"/>
              <w:bottom w:val="single" w:sz="4" w:space="0" w:color="BFBFBF"/>
              <w:right w:val="single" w:sz="4" w:space="0" w:color="BFBFBF"/>
            </w:tcBorders>
          </w:tcPr>
          <w:p w14:paraId="563E2182" w14:textId="77777777" w:rsidR="00330D2D" w:rsidRDefault="00000000">
            <w:r>
              <w:rPr>
                <w:sz w:val="20"/>
              </w:rPr>
              <w:t>A space where a firm may test a new financial product with real customers. The regulator watches closely and sets limits on it. It comes before the firm applies for a full licence.</w:t>
            </w:r>
          </w:p>
        </w:tc>
      </w:tr>
      <w:tr w:rsidR="00330D2D" w14:paraId="7341DAC7"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7AD296D4" w14:textId="77777777" w:rsidR="00330D2D" w:rsidRDefault="00000000">
            <w:r>
              <w:rPr>
                <w:sz w:val="20"/>
              </w:rPr>
              <w:t>Pathway</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7BF14DC8" w14:textId="77777777" w:rsidR="00330D2D" w:rsidRDefault="00000000">
            <w:r>
              <w:rPr>
                <w:sz w:val="20"/>
              </w:rPr>
              <w:t>The route a firm takes from an idea to a licence. It sets out which steps it must clear, in which order, and who approves each one.</w:t>
            </w:r>
          </w:p>
        </w:tc>
      </w:tr>
    </w:tbl>
    <w:p w14:paraId="4072FE80" w14:textId="77777777" w:rsidR="00330D2D" w:rsidRDefault="00000000">
      <w:pPr>
        <w:spacing w:before="200" w:after="80"/>
      </w:pPr>
      <w:r>
        <w:rPr>
          <w:b/>
          <w:color w:val="1F4E79"/>
          <w:sz w:val="26"/>
        </w:rPr>
        <w:t>Task 1 - From the reading</w:t>
      </w:r>
    </w:p>
    <w:p w14:paraId="169A583B" w14:textId="77777777" w:rsidR="00330D2D" w:rsidRDefault="00000000">
      <w:r>
        <w:rPr>
          <w:i/>
          <w:sz w:val="22"/>
        </w:rPr>
        <w:t>Answer the guiding questions from the structured extract.</w:t>
      </w:r>
    </w:p>
    <w:p w14:paraId="3A37A035" w14:textId="77777777" w:rsidR="00330D2D" w:rsidRDefault="00000000">
      <w:r>
        <w:rPr>
          <w:i/>
          <w:sz w:val="20"/>
        </w:rPr>
        <w:t>Expected: 2-3 sentences per question.</w:t>
      </w:r>
    </w:p>
    <w:p w14:paraId="0309E3C1" w14:textId="77777777" w:rsidR="00330D2D" w:rsidRDefault="00000000">
      <w:r>
        <w:rPr>
          <w:b/>
          <w:sz w:val="22"/>
        </w:rPr>
        <w:t>Q1. Where in the pathway does a hypothetical exchange first enter?</w:t>
      </w:r>
    </w:p>
    <w:tbl>
      <w:tblPr>
        <w:tblW w:w="0" w:type="auto"/>
        <w:tblLook w:val="04A0" w:firstRow="1" w:lastRow="0" w:firstColumn="1" w:lastColumn="0" w:noHBand="0" w:noVBand="1"/>
      </w:tblPr>
      <w:tblGrid>
        <w:gridCol w:w="9350"/>
      </w:tblGrid>
      <w:tr w:rsidR="00330D2D" w14:paraId="33225170" w14:textId="77777777" w:rsidTr="0043716F">
        <w:tc>
          <w:tcPr>
            <w:tcW w:w="9350" w:type="dxa"/>
            <w:tcBorders>
              <w:top w:val="single" w:sz="4" w:space="0" w:color="BFBFBF"/>
              <w:left w:val="single" w:sz="4" w:space="0" w:color="BFBFBF"/>
              <w:bottom w:val="single" w:sz="4" w:space="0" w:color="BFBFBF"/>
              <w:right w:val="single" w:sz="4" w:space="0" w:color="BFBFBF"/>
            </w:tcBorders>
          </w:tcPr>
          <w:p w14:paraId="2D731611" w14:textId="3135D950" w:rsidR="00330D2D" w:rsidRDefault="00EF4C2A" w:rsidP="00EF4C2A">
            <w:r w:rsidRPr="00EF4C2A">
              <w:lastRenderedPageBreak/>
              <w:t xml:space="preserve">A hypothetical exchange must initially enter the regulatory pathway at the Eligibility Check stage. At this initial milestone, the firm must verify that its specific operational model qualifies for Sandbox testing prior to formally </w:t>
            </w:r>
            <w:proofErr w:type="gramStart"/>
            <w:r w:rsidRPr="00EF4C2A">
              <w:t>submitting an application</w:t>
            </w:r>
            <w:proofErr w:type="gramEnd"/>
            <w:r w:rsidRPr="00EF4C2A">
              <w:t xml:space="preserve"> to the Central Bank of Bahrain's FinTech &amp; Innovation unit.</w:t>
            </w:r>
          </w:p>
        </w:tc>
      </w:tr>
    </w:tbl>
    <w:p w14:paraId="5FCB99D3" w14:textId="77777777" w:rsidR="00330D2D" w:rsidRDefault="00000000">
      <w:r>
        <w:rPr>
          <w:b/>
          <w:sz w:val="22"/>
        </w:rPr>
        <w:t>Q2. Which licence category fits an exchange, and why?</w:t>
      </w:r>
    </w:p>
    <w:tbl>
      <w:tblPr>
        <w:tblW w:w="0" w:type="auto"/>
        <w:tblLook w:val="04A0" w:firstRow="1" w:lastRow="0" w:firstColumn="1" w:lastColumn="0" w:noHBand="0" w:noVBand="1"/>
      </w:tblPr>
      <w:tblGrid>
        <w:gridCol w:w="9350"/>
      </w:tblGrid>
      <w:tr w:rsidR="00330D2D" w14:paraId="442EF231" w14:textId="77777777" w:rsidTr="0043716F">
        <w:tc>
          <w:tcPr>
            <w:tcW w:w="9350" w:type="dxa"/>
            <w:tcBorders>
              <w:top w:val="single" w:sz="4" w:space="0" w:color="BFBFBF"/>
              <w:left w:val="single" w:sz="4" w:space="0" w:color="BFBFBF"/>
              <w:bottom w:val="single" w:sz="4" w:space="0" w:color="BFBFBF"/>
              <w:right w:val="single" w:sz="4" w:space="0" w:color="BFBFBF"/>
            </w:tcBorders>
          </w:tcPr>
          <w:p w14:paraId="20D91CB4" w14:textId="09B4DC82" w:rsidR="00330D2D" w:rsidRDefault="00EF4C2A" w:rsidP="00EF4C2A">
            <w:r w:rsidRPr="00EF4C2A">
              <w:t xml:space="preserve">A crypto-asset exchange strictly requires a Category 4 </w:t>
            </w:r>
            <w:proofErr w:type="spellStart"/>
            <w:r w:rsidRPr="00EF4C2A">
              <w:t>Licence</w:t>
            </w:r>
            <w:proofErr w:type="spellEnd"/>
            <w:r w:rsidRPr="00EF4C2A">
              <w:t xml:space="preserve">. This serves as the sole Central Bank of Bahrain </w:t>
            </w:r>
            <w:proofErr w:type="spellStart"/>
            <w:r w:rsidRPr="00EF4C2A">
              <w:t>licence</w:t>
            </w:r>
            <w:proofErr w:type="spellEnd"/>
            <w:r w:rsidRPr="00EF4C2A">
              <w:t xml:space="preserve"> category that legally authorizes a firm to manage a multilateral trading facility or order-matching engine where purchasers and sellers trade approved crypto-assets against fiat currency or alternative crypto-assets.</w:t>
            </w:r>
          </w:p>
        </w:tc>
      </w:tr>
    </w:tbl>
    <w:p w14:paraId="4640CC79" w14:textId="77777777" w:rsidR="00330D2D" w:rsidRDefault="00000000">
      <w:r>
        <w:rPr>
          <w:b/>
          <w:sz w:val="22"/>
        </w:rPr>
        <w:t>Q3. Which three obligations would you flag as highest-risk in the application?</w:t>
      </w:r>
    </w:p>
    <w:tbl>
      <w:tblPr>
        <w:tblW w:w="0" w:type="auto"/>
        <w:tblLook w:val="04A0" w:firstRow="1" w:lastRow="0" w:firstColumn="1" w:lastColumn="0" w:noHBand="0" w:noVBand="1"/>
      </w:tblPr>
      <w:tblGrid>
        <w:gridCol w:w="9350"/>
      </w:tblGrid>
      <w:tr w:rsidR="00330D2D" w14:paraId="7E66C99F" w14:textId="77777777" w:rsidTr="0043716F">
        <w:tc>
          <w:tcPr>
            <w:tcW w:w="9350" w:type="dxa"/>
            <w:tcBorders>
              <w:top w:val="single" w:sz="4" w:space="0" w:color="BFBFBF"/>
              <w:left w:val="single" w:sz="4" w:space="0" w:color="BFBFBF"/>
              <w:bottom w:val="single" w:sz="4" w:space="0" w:color="BFBFBF"/>
              <w:right w:val="single" w:sz="4" w:space="0" w:color="BFBFBF"/>
            </w:tcBorders>
          </w:tcPr>
          <w:p w14:paraId="79564A21" w14:textId="20427A79" w:rsidR="00330D2D" w:rsidRDefault="00EF4C2A" w:rsidP="00EF4C2A">
            <w:r w:rsidRPr="00EF4C2A">
              <w:t>First, client asset custody and segregation under CRA-8 represents the primary risk because any failure in safeguarding private keys produces immediate, permanent, and unrecoverable capital destruction for clients. Second, AML/CFT compliance under CRA-7 stands as the second major risk because neglecting to stop money laundering triggers severe regulatory penalties, revocation of operating licenses, and criminal liability. Third, conduct of business under CRA-12 ranks as the third key risk since omitting disclosure of financial risks to retail buyers exposes the exchange to extensive reputational harm and civil litigation.</w:t>
            </w:r>
          </w:p>
        </w:tc>
      </w:tr>
    </w:tbl>
    <w:p w14:paraId="4851DFDB" w14:textId="77777777" w:rsidR="00330D2D" w:rsidRDefault="00000000">
      <w:pPr>
        <w:spacing w:before="200" w:after="80"/>
      </w:pPr>
      <w:r>
        <w:rPr>
          <w:b/>
          <w:color w:val="1F4E79"/>
          <w:sz w:val="26"/>
        </w:rPr>
        <w:t>Task 2 - Apply it (individual build task)</w:t>
      </w:r>
    </w:p>
    <w:p w14:paraId="0805C195" w14:textId="77777777" w:rsidR="00330D2D" w:rsidRDefault="00000000">
      <w:r>
        <w:rPr>
          <w:i/>
          <w:sz w:val="22"/>
        </w:rPr>
        <w:t>Now use the ideas from Task 1 to do this, in your own words:</w:t>
      </w:r>
    </w:p>
    <w:p w14:paraId="5FE02F9E" w14:textId="77777777" w:rsidR="00330D2D" w:rsidRDefault="00000000">
      <w:r>
        <w:rPr>
          <w:b/>
          <w:sz w:val="22"/>
        </w:rPr>
        <w:t>Sequence the five sandbox pathway steps, in order, for the stated project (a Bahraini exchange seeking a Category 4 licence), one line per step.</w:t>
      </w:r>
    </w:p>
    <w:p w14:paraId="368FACF8" w14:textId="77777777" w:rsidR="00330D2D" w:rsidRDefault="00000000">
      <w:r>
        <w:rPr>
          <w:i/>
          <w:sz w:val="20"/>
        </w:rPr>
        <w:t>Expected: five ordered lines (one per step).</w:t>
      </w:r>
    </w:p>
    <w:tbl>
      <w:tblPr>
        <w:tblW w:w="0" w:type="auto"/>
        <w:tblLook w:val="04A0" w:firstRow="1" w:lastRow="0" w:firstColumn="1" w:lastColumn="0" w:noHBand="0" w:noVBand="1"/>
      </w:tblPr>
      <w:tblGrid>
        <w:gridCol w:w="9350"/>
      </w:tblGrid>
      <w:tr w:rsidR="00330D2D" w14:paraId="26BA1870" w14:textId="77777777" w:rsidTr="0043716F">
        <w:tc>
          <w:tcPr>
            <w:tcW w:w="9350" w:type="dxa"/>
            <w:tcBorders>
              <w:top w:val="single" w:sz="4" w:space="0" w:color="BFBFBF"/>
              <w:left w:val="single" w:sz="4" w:space="0" w:color="BFBFBF"/>
              <w:bottom w:val="single" w:sz="4" w:space="0" w:color="BFBFBF"/>
              <w:right w:val="single" w:sz="4" w:space="0" w:color="BFBFBF"/>
            </w:tcBorders>
          </w:tcPr>
          <w:p w14:paraId="6F9C5129" w14:textId="77777777" w:rsidR="00EF4C2A" w:rsidRPr="00EF4C2A" w:rsidRDefault="00EF4C2A" w:rsidP="00EF4C2A">
            <w:pPr>
              <w:numPr>
                <w:ilvl w:val="0"/>
                <w:numId w:val="3"/>
              </w:numPr>
            </w:pPr>
            <w:r w:rsidRPr="00EF4C2A">
              <w:rPr>
                <w:b/>
                <w:bCs/>
              </w:rPr>
              <w:t>Eligibility Check:</w:t>
            </w:r>
            <w:r w:rsidRPr="00EF4C2A">
              <w:t xml:space="preserve"> The exchange confirms that its crypto matching-engine business model legally qualifies to enter the Central Bank of Bahrain Sandbox. </w:t>
            </w:r>
          </w:p>
          <w:p w14:paraId="5AE294DE" w14:textId="77777777" w:rsidR="00EF4C2A" w:rsidRPr="00EF4C2A" w:rsidRDefault="00EF4C2A" w:rsidP="00EF4C2A">
            <w:pPr>
              <w:numPr>
                <w:ilvl w:val="0"/>
                <w:numId w:val="3"/>
              </w:numPr>
            </w:pPr>
            <w:r w:rsidRPr="00EF4C2A">
              <w:rPr>
                <w:b/>
                <w:bCs/>
              </w:rPr>
              <w:t>Apply:</w:t>
            </w:r>
            <w:r w:rsidRPr="00EF4C2A">
              <w:t xml:space="preserve"> The exchange formally submits its business plan and Category 4 application to the CBB FinTech and Innovation unit. </w:t>
            </w:r>
          </w:p>
          <w:p w14:paraId="4175F5F8" w14:textId="77777777" w:rsidR="00EF4C2A" w:rsidRPr="00EF4C2A" w:rsidRDefault="00EF4C2A" w:rsidP="00EF4C2A">
            <w:pPr>
              <w:numPr>
                <w:ilvl w:val="0"/>
                <w:numId w:val="3"/>
              </w:numPr>
            </w:pPr>
            <w:r w:rsidRPr="00EF4C2A">
              <w:rPr>
                <w:b/>
                <w:bCs/>
              </w:rPr>
              <w:t>Test:</w:t>
            </w:r>
            <w:r w:rsidRPr="00EF4C2A">
              <w:t xml:space="preserve"> The exchange operates its platform under strict CBB surveillance, adhering strictly to established customer limits, volume caps, and regular reporting. </w:t>
            </w:r>
          </w:p>
          <w:p w14:paraId="656A0575" w14:textId="77777777" w:rsidR="00EF4C2A" w:rsidRPr="00EF4C2A" w:rsidRDefault="00EF4C2A" w:rsidP="00EF4C2A">
            <w:pPr>
              <w:numPr>
                <w:ilvl w:val="0"/>
                <w:numId w:val="3"/>
              </w:numPr>
            </w:pPr>
            <w:proofErr w:type="gramStart"/>
            <w:r w:rsidRPr="00EF4C2A">
              <w:rPr>
                <w:b/>
                <w:bCs/>
              </w:rPr>
              <w:lastRenderedPageBreak/>
              <w:t>Evaluate</w:t>
            </w:r>
            <w:proofErr w:type="gramEnd"/>
            <w:r w:rsidRPr="00EF4C2A">
              <w:rPr>
                <w:b/>
                <w:bCs/>
              </w:rPr>
              <w:t>:</w:t>
            </w:r>
            <w:r w:rsidRPr="00EF4C2A">
              <w:t xml:space="preserve"> The CBB assesses the exchange's Sandbox performance, specifically scrutinizing its compliance with CRA-7 anti-money laundering and CRA-8 asset custody obligations. </w:t>
            </w:r>
          </w:p>
          <w:p w14:paraId="40EB8780" w14:textId="4B228A55" w:rsidR="00330D2D" w:rsidRDefault="00EF4C2A" w:rsidP="00EF4C2A">
            <w:pPr>
              <w:numPr>
                <w:ilvl w:val="0"/>
                <w:numId w:val="3"/>
              </w:numPr>
            </w:pPr>
            <w:r w:rsidRPr="00EF4C2A">
              <w:rPr>
                <w:b/>
                <w:bCs/>
              </w:rPr>
              <w:t>Exit:</w:t>
            </w:r>
            <w:r w:rsidRPr="00EF4C2A">
              <w:t xml:space="preserve"> The CBB issues the </w:t>
            </w:r>
            <w:proofErr w:type="gramStart"/>
            <w:r w:rsidRPr="00EF4C2A">
              <w:t>final outcome</w:t>
            </w:r>
            <w:proofErr w:type="gramEnd"/>
            <w:r w:rsidRPr="00EF4C2A">
              <w:t xml:space="preserve">, either granting the full Category 4 </w:t>
            </w:r>
            <w:proofErr w:type="spellStart"/>
            <w:r w:rsidRPr="00EF4C2A">
              <w:t>licence</w:t>
            </w:r>
            <w:proofErr w:type="spellEnd"/>
            <w:r w:rsidRPr="00EF4C2A">
              <w:t>, extending the test period, or halting the project entirely.</w:t>
            </w:r>
          </w:p>
        </w:tc>
      </w:tr>
    </w:tbl>
    <w:p w14:paraId="7DD58B4F" w14:textId="77777777" w:rsidR="00330D2D" w:rsidRDefault="00000000">
      <w:pPr>
        <w:spacing w:before="200" w:after="80"/>
      </w:pPr>
      <w:r>
        <w:rPr>
          <w:b/>
          <w:color w:val="1F4E79"/>
          <w:sz w:val="26"/>
        </w:rPr>
        <w:lastRenderedPageBreak/>
        <w:t>Task 3 - Group activity (your own write-up)</w:t>
      </w:r>
    </w:p>
    <w:p w14:paraId="044E6065" w14:textId="77777777" w:rsidR="00330D2D" w:rsidRDefault="00000000">
      <w:r>
        <w:rPr>
          <w:b/>
          <w:sz w:val="22"/>
        </w:rPr>
        <w:t>Map a licence application.</w:t>
      </w:r>
    </w:p>
    <w:p w14:paraId="4DD4BE8F" w14:textId="77777777" w:rsidR="00330D2D" w:rsidRDefault="00000000">
      <w:r>
        <w:rPr>
          <w:i/>
          <w:sz w:val="22"/>
        </w:rPr>
        <w:t>Mini-case: a Bahraini exchange seeks a Category 4 licence (the Central Bank of Bahrain (CBB) crypto-asset exchange-operator category). In groups, map the application to Crypto-asset Module (CRA) chapters; each submits their own obligation map.</w:t>
      </w:r>
    </w:p>
    <w:p w14:paraId="759F52CE" w14:textId="77777777" w:rsidR="00330D2D" w:rsidRDefault="00000000">
      <w:pPr>
        <w:spacing w:after="40"/>
        <w:ind w:left="432" w:hanging="216"/>
      </w:pPr>
      <w:r>
        <w:rPr>
          <w:sz w:val="22"/>
        </w:rPr>
        <w:t>•  Sequence the sandbox pathway for this exchange.</w:t>
      </w:r>
    </w:p>
    <w:p w14:paraId="7C38A763" w14:textId="77777777" w:rsidR="00330D2D" w:rsidRDefault="00000000">
      <w:pPr>
        <w:spacing w:after="40"/>
        <w:ind w:left="432" w:hanging="216"/>
      </w:pPr>
      <w:r>
        <w:rPr>
          <w:sz w:val="22"/>
        </w:rPr>
        <w:t>•  Map the application to the governing CRA chapters.</w:t>
      </w:r>
    </w:p>
    <w:p w14:paraId="247A793A" w14:textId="77777777" w:rsidR="00330D2D" w:rsidRDefault="00000000">
      <w:pPr>
        <w:spacing w:after="40"/>
        <w:ind w:left="432" w:hanging="216"/>
      </w:pPr>
      <w:r>
        <w:rPr>
          <w:sz w:val="22"/>
        </w:rPr>
        <w:t>•  Name the three highest-risk obligations and justify each.</w:t>
      </w:r>
    </w:p>
    <w:p w14:paraId="09896E14" w14:textId="77777777" w:rsidR="00330D2D" w:rsidRDefault="00000000">
      <w:pPr>
        <w:spacing w:after="40"/>
        <w:ind w:left="432" w:hanging="216"/>
      </w:pPr>
      <w:r>
        <w:rPr>
          <w:sz w:val="22"/>
        </w:rPr>
        <w:t>•  State where the project enters the pathway.</w:t>
      </w:r>
    </w:p>
    <w:p w14:paraId="7850BE18" w14:textId="77777777" w:rsidR="00330D2D" w:rsidRDefault="00000000">
      <w:r>
        <w:rPr>
          <w:i/>
          <w:sz w:val="20"/>
        </w:rPr>
        <w:t>Expected: complete the activity above, then write your own answer of about half a page.</w:t>
      </w:r>
    </w:p>
    <w:p w14:paraId="4C998DD6" w14:textId="77777777" w:rsidR="00330D2D" w:rsidRDefault="00000000">
      <w:r>
        <w:rPr>
          <w:b/>
          <w:sz w:val="22"/>
        </w:rPr>
        <w:t>Write your own answer here:</w:t>
      </w:r>
    </w:p>
    <w:tbl>
      <w:tblPr>
        <w:tblW w:w="0" w:type="auto"/>
        <w:tblLook w:val="04A0" w:firstRow="1" w:lastRow="0" w:firstColumn="1" w:lastColumn="0" w:noHBand="0" w:noVBand="1"/>
      </w:tblPr>
      <w:tblGrid>
        <w:gridCol w:w="9350"/>
      </w:tblGrid>
      <w:tr w:rsidR="00330D2D" w14:paraId="5C2720F8" w14:textId="77777777" w:rsidTr="0043716F">
        <w:tc>
          <w:tcPr>
            <w:tcW w:w="9350" w:type="dxa"/>
            <w:tcBorders>
              <w:top w:val="single" w:sz="4" w:space="0" w:color="BFBFBF"/>
              <w:left w:val="single" w:sz="4" w:space="0" w:color="BFBFBF"/>
              <w:bottom w:val="single" w:sz="4" w:space="0" w:color="BFBFBF"/>
              <w:right w:val="single" w:sz="4" w:space="0" w:color="BFBFBF"/>
            </w:tcBorders>
          </w:tcPr>
          <w:p w14:paraId="490BFC5F" w14:textId="77777777" w:rsidR="00330D2D" w:rsidRDefault="00EF4C2A" w:rsidP="00EF4C2A">
            <w:r w:rsidRPr="00EF4C2A">
              <w:t>The project enters the regulatory pathway at the initial Eligibility Check stage, confirming its exchange matching-engine model qualifies before applying to the Central Bank of Bahrain FinTech unit. During the Test and Evaluate phases in the Sandbox, the application maps strictly to several governing chapters of Volume 6, Module CRA. The core operational permissions map to CRA-1 (</w:t>
            </w:r>
            <w:proofErr w:type="spellStart"/>
            <w:r w:rsidRPr="00EF4C2A">
              <w:t>Authorisation</w:t>
            </w:r>
            <w:proofErr w:type="spellEnd"/>
            <w:r w:rsidRPr="00EF4C2A">
              <w:t xml:space="preserve">) and CRA-2 (Licensing Categories), validating the Category 4 matching-engine structure. Client onboarding, transaction monitoring, and Travel Rule compliance </w:t>
            </w:r>
            <w:proofErr w:type="gramStart"/>
            <w:r w:rsidRPr="00EF4C2A">
              <w:t>map</w:t>
            </w:r>
            <w:proofErr w:type="gramEnd"/>
            <w:r w:rsidRPr="00EF4C2A">
              <w:t xml:space="preserve"> to CRA-7 (AML/CFT), while the physical and digital safeguarding of client wallets maps to CRA-8 (Custody). Finally, retail user interaction, fee schedules, and marketing disclosures map to CRA-12 (Conduct of Business).</w:t>
            </w:r>
          </w:p>
          <w:p w14:paraId="7BCD1B4E" w14:textId="77777777" w:rsidR="00EF4C2A" w:rsidRPr="00EF4C2A" w:rsidRDefault="00EF4C2A" w:rsidP="00EF4C2A">
            <w:r w:rsidRPr="00EF4C2A">
              <w:t>The three highest-risk regulatory obligations under the Central Bank of Bahrain's framework are organized by consequence as follows:</w:t>
            </w:r>
          </w:p>
          <w:p w14:paraId="069D695D" w14:textId="77777777" w:rsidR="00EF4C2A" w:rsidRPr="00EF4C2A" w:rsidRDefault="00EF4C2A" w:rsidP="00EF4C2A">
            <w:pPr>
              <w:numPr>
                <w:ilvl w:val="0"/>
                <w:numId w:val="4"/>
              </w:numPr>
            </w:pPr>
            <w:r w:rsidRPr="00EF4C2A">
              <w:rPr>
                <w:b/>
                <w:bCs/>
              </w:rPr>
              <w:t>First is CRA-8 (Custody):</w:t>
            </w:r>
            <w:r w:rsidRPr="00EF4C2A">
              <w:t xml:space="preserve"> Ranked highest because the irreversible nature of blockchain means any failure to segregate or secure private keys results in </w:t>
            </w:r>
            <w:r w:rsidRPr="00EF4C2A">
              <w:lastRenderedPageBreak/>
              <w:t xml:space="preserve">permanent, total loss of client funds, instantly destroying the exchange's solvency. </w:t>
            </w:r>
          </w:p>
          <w:p w14:paraId="5FDFC929" w14:textId="77777777" w:rsidR="00EF4C2A" w:rsidRPr="00EF4C2A" w:rsidRDefault="00EF4C2A" w:rsidP="00EF4C2A">
            <w:pPr>
              <w:numPr>
                <w:ilvl w:val="0"/>
                <w:numId w:val="4"/>
              </w:numPr>
            </w:pPr>
            <w:r w:rsidRPr="00EF4C2A">
              <w:rPr>
                <w:b/>
                <w:bCs/>
              </w:rPr>
              <w:t>Second is CRA-7 (AML/CFT):</w:t>
            </w:r>
            <w:r w:rsidRPr="00EF4C2A">
              <w:t xml:space="preserve"> Ranked second because an exchange acts as a primary fiat on-ramp; failing to apply the Travel Rule or KYC allows illicit capital to enter the Bahraini financial system, leading to immediate CBB shutdown and criminal prosecution. </w:t>
            </w:r>
          </w:p>
          <w:p w14:paraId="39E332F8" w14:textId="44CE33D8" w:rsidR="00EF4C2A" w:rsidRDefault="00EF4C2A" w:rsidP="00EF4C2A">
            <w:pPr>
              <w:numPr>
                <w:ilvl w:val="0"/>
                <w:numId w:val="4"/>
              </w:numPr>
            </w:pPr>
            <w:r w:rsidRPr="00EF4C2A">
              <w:rPr>
                <w:b/>
                <w:bCs/>
              </w:rPr>
              <w:t>Third is CRA-12 (Conduct of Business):</w:t>
            </w:r>
            <w:r w:rsidRPr="00EF4C2A">
              <w:t xml:space="preserve"> Ranked third because an exchange deals directly with retail consumers; failing to clearly disclose extreme market volatility or platform risks violates consumer protection laws and invites civil litigation.</w:t>
            </w:r>
          </w:p>
        </w:tc>
      </w:tr>
    </w:tbl>
    <w:p w14:paraId="2F211002" w14:textId="77777777" w:rsidR="00330D2D" w:rsidRDefault="00000000">
      <w:pPr>
        <w:spacing w:before="200" w:after="80"/>
      </w:pPr>
      <w:r>
        <w:rPr>
          <w:b/>
          <w:color w:val="1F4E79"/>
          <w:sz w:val="26"/>
        </w:rPr>
        <w:lastRenderedPageBreak/>
        <w:t>Task 4 - Sources</w:t>
      </w:r>
    </w:p>
    <w:tbl>
      <w:tblPr>
        <w:tblW w:w="0" w:type="auto"/>
        <w:tblLook w:val="04A0" w:firstRow="1" w:lastRow="0" w:firstColumn="1" w:lastColumn="0" w:noHBand="0" w:noVBand="1"/>
      </w:tblPr>
      <w:tblGrid>
        <w:gridCol w:w="4076"/>
        <w:gridCol w:w="5274"/>
      </w:tblGrid>
      <w:tr w:rsidR="00330D2D" w14:paraId="3ABF2877" w14:textId="77777777">
        <w:tc>
          <w:tcPr>
            <w:tcW w:w="4176" w:type="dxa"/>
            <w:tcBorders>
              <w:top w:val="single" w:sz="4" w:space="0" w:color="BFBFBF"/>
              <w:left w:val="single" w:sz="4" w:space="0" w:color="BFBFBF"/>
              <w:bottom w:val="single" w:sz="4" w:space="0" w:color="BFBFBF"/>
              <w:right w:val="single" w:sz="4" w:space="0" w:color="BFBFBF"/>
            </w:tcBorders>
          </w:tcPr>
          <w:p w14:paraId="226FE6FC" w14:textId="77777777" w:rsidR="00330D2D" w:rsidRDefault="00000000">
            <w:r>
              <w:rPr>
                <w:b/>
                <w:sz w:val="20"/>
              </w:rPr>
              <w:t>Sources I used (if any)</w:t>
            </w:r>
          </w:p>
        </w:tc>
        <w:tc>
          <w:tcPr>
            <w:tcW w:w="5328" w:type="dxa"/>
            <w:tcBorders>
              <w:top w:val="single" w:sz="4" w:space="0" w:color="BFBFBF"/>
              <w:left w:val="single" w:sz="4" w:space="0" w:color="BFBFBF"/>
              <w:bottom w:val="single" w:sz="4" w:space="0" w:color="BFBFBF"/>
              <w:right w:val="single" w:sz="4" w:space="0" w:color="BFBFBF"/>
            </w:tcBorders>
          </w:tcPr>
          <w:p w14:paraId="4F129E51" w14:textId="4F3AD3CF" w:rsidR="00EF4C2A" w:rsidRPr="00EF4C2A" w:rsidRDefault="00EF4C2A" w:rsidP="00EF4C2A">
            <w:pPr>
              <w:pStyle w:val="ListParagraph"/>
              <w:numPr>
                <w:ilvl w:val="0"/>
                <w:numId w:val="5"/>
              </w:numPr>
            </w:pPr>
            <w:r w:rsidRPr="00EF4C2A">
              <w:t xml:space="preserve">Bahrain Polytechnic. (2026). </w:t>
            </w:r>
            <w:r w:rsidRPr="00EF4C2A">
              <w:rPr>
                <w:i/>
                <w:iCs/>
              </w:rPr>
              <w:t>IT8204 Week 5 Session 2: Structured Extract, Visual Reading, and Opener Slides</w:t>
            </w:r>
            <w:r w:rsidRPr="00EF4C2A">
              <w:t>.</w:t>
            </w:r>
          </w:p>
          <w:p w14:paraId="18506331" w14:textId="7D47ADC5" w:rsidR="00EF4C2A" w:rsidRPr="00EF4C2A" w:rsidRDefault="00EF4C2A" w:rsidP="00EF4C2A">
            <w:pPr>
              <w:pStyle w:val="ListParagraph"/>
              <w:numPr>
                <w:ilvl w:val="0"/>
                <w:numId w:val="5"/>
              </w:numPr>
            </w:pPr>
            <w:r w:rsidRPr="00EF4C2A">
              <w:t xml:space="preserve">Central Bank of Bahrain. (2022). </w:t>
            </w:r>
            <w:r w:rsidRPr="00EF4C2A">
              <w:rPr>
                <w:i/>
                <w:iCs/>
              </w:rPr>
              <w:t>CBB Rulebook, Volume 6: Capital Markets, Module CRA (Crypto-asset)</w:t>
            </w:r>
            <w:r w:rsidRPr="00EF4C2A">
              <w:t xml:space="preserve">, Chapters CRA-1, CRA-2, CRA-7, CRA-8, and CRA-12. Manama: Central Bank of Bahrain. </w:t>
            </w:r>
          </w:p>
          <w:p w14:paraId="5EFA1981" w14:textId="3454D6F5" w:rsidR="00EF4C2A" w:rsidRPr="00EF4C2A" w:rsidRDefault="00EF4C2A" w:rsidP="00EF4C2A">
            <w:pPr>
              <w:pStyle w:val="ListParagraph"/>
              <w:numPr>
                <w:ilvl w:val="0"/>
                <w:numId w:val="5"/>
              </w:numPr>
            </w:pPr>
            <w:r w:rsidRPr="00EF4C2A">
              <w:t xml:space="preserve">Central Bank of Bahrain. (2026). </w:t>
            </w:r>
            <w:r w:rsidRPr="00EF4C2A">
              <w:rPr>
                <w:i/>
                <w:iCs/>
              </w:rPr>
              <w:t>Regulatory Sandbox Framework and Licensing Pages</w:t>
            </w:r>
            <w:r w:rsidRPr="00EF4C2A">
              <w:t>. CBB FinTech &amp; Innovation Unit (</w:t>
            </w:r>
            <w:hyperlink r:id="rId7" w:tgtFrame="_blank" w:history="1">
              <w:r w:rsidRPr="00EF4C2A">
                <w:rPr>
                  <w:rStyle w:val="Hyperlink"/>
                </w:rPr>
                <w:t>https://www.cbb.go</w:t>
              </w:r>
              <w:r w:rsidRPr="00EF4C2A">
                <w:rPr>
                  <w:rStyle w:val="Hyperlink"/>
                </w:rPr>
                <w:t>v</w:t>
              </w:r>
              <w:r w:rsidRPr="00EF4C2A">
                <w:rPr>
                  <w:rStyle w:val="Hyperlink"/>
                </w:rPr>
                <w:t>.bh</w:t>
              </w:r>
            </w:hyperlink>
            <w:r w:rsidRPr="00EF4C2A">
              <w:t xml:space="preserve">). </w:t>
            </w:r>
          </w:p>
          <w:p w14:paraId="39FD0540" w14:textId="570DFF93" w:rsidR="00330D2D" w:rsidRDefault="00330D2D" w:rsidP="0043716F"/>
        </w:tc>
      </w:tr>
    </w:tbl>
    <w:p w14:paraId="52802A42" w14:textId="77777777" w:rsidR="00330D2D" w:rsidRDefault="00000000">
      <w:pPr>
        <w:spacing w:before="200" w:after="80"/>
      </w:pPr>
      <w:r>
        <w:rPr>
          <w:b/>
          <w:color w:val="1F4E79"/>
          <w:sz w:val="26"/>
        </w:rPr>
        <w:t>Before you submit</w:t>
      </w:r>
    </w:p>
    <w:p w14:paraId="19E1F554" w14:textId="77777777" w:rsidR="00330D2D" w:rsidRDefault="00000000">
      <w:pPr>
        <w:spacing w:after="40"/>
        <w:ind w:left="432" w:hanging="216"/>
      </w:pPr>
      <w:r>
        <w:rPr>
          <w:sz w:val="22"/>
        </w:rPr>
        <w:t>•  Your name and student ID are filled in.</w:t>
      </w:r>
    </w:p>
    <w:p w14:paraId="0C8D58B5" w14:textId="77777777" w:rsidR="00330D2D" w:rsidRDefault="00000000">
      <w:pPr>
        <w:spacing w:after="40"/>
        <w:ind w:left="432" w:hanging="216"/>
      </w:pPr>
      <w:r>
        <w:rPr>
          <w:sz w:val="22"/>
        </w:rPr>
        <w:t>•  All tasks are attempted.</w:t>
      </w:r>
    </w:p>
    <w:p w14:paraId="2590CC48" w14:textId="77777777" w:rsidR="00330D2D" w:rsidRDefault="00000000">
      <w:pPr>
        <w:spacing w:after="40"/>
        <w:ind w:left="432" w:hanging="216"/>
      </w:pPr>
      <w:r>
        <w:rPr>
          <w:sz w:val="22"/>
        </w:rPr>
        <w:t>•  Submit this sheet before you leave today, to the Week 5 weekly worksheets link on Moodle. That same link takes both of the Week 5 weekly worksheets, one per session.</w:t>
      </w:r>
    </w:p>
    <w:p w14:paraId="3EF9A64C" w14:textId="77777777" w:rsidR="00330D2D" w:rsidRDefault="00000000">
      <w:pPr>
        <w:spacing w:after="40"/>
        <w:ind w:left="432" w:hanging="216"/>
      </w:pPr>
      <w:r>
        <w:rPr>
          <w:sz w:val="22"/>
        </w:rPr>
        <w:t>•  If you need more time, finish it at home and submit to the same link by Friday 16 October 2026, 23:59. That is the deadline for both Week 5 sheets.</w:t>
      </w:r>
    </w:p>
    <w:p w14:paraId="0A6D77AC" w14:textId="77777777" w:rsidR="00330D2D" w:rsidRDefault="00000000">
      <w:pPr>
        <w:spacing w:after="40"/>
        <w:ind w:left="432" w:hanging="216"/>
      </w:pPr>
      <w:r>
        <w:rPr>
          <w:sz w:val="22"/>
        </w:rPr>
        <w:t>•  Both weekly worksheets are marked together in one Week 5 marking sheet worth 2.50 percent of the course.</w:t>
      </w:r>
    </w:p>
    <w:p w14:paraId="2494AE98" w14:textId="77777777" w:rsidR="00330D2D" w:rsidRDefault="00000000">
      <w:pPr>
        <w:spacing w:after="40"/>
        <w:ind w:left="432" w:hanging="216"/>
      </w:pPr>
      <w:r>
        <w:rPr>
          <w:sz w:val="22"/>
        </w:rPr>
        <w:lastRenderedPageBreak/>
        <w:t>•  You may use your notes and the session readings. Every worksheet is your own work.</w:t>
      </w:r>
    </w:p>
    <w:sectPr w:rsidR="00330D2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9DFDD" w14:textId="77777777" w:rsidR="00D949A8" w:rsidRDefault="00D949A8" w:rsidP="002F5FE7">
      <w:pPr>
        <w:spacing w:after="0" w:line="240" w:lineRule="auto"/>
      </w:pPr>
      <w:r>
        <w:separator/>
      </w:r>
    </w:p>
  </w:endnote>
  <w:endnote w:type="continuationSeparator" w:id="0">
    <w:p w14:paraId="0D00C2EF" w14:textId="77777777" w:rsidR="00D949A8" w:rsidRDefault="00D949A8"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FD09" w14:textId="77777777">
      <w:tc>
        <w:tcPr>
          <w:tcW w:w="2500" w:type="pct"/>
          <w:tcBorders>
            <w:top w:val="nil"/>
            <w:left w:val="nil"/>
            <w:bottom w:val="nil"/>
            <w:right w:val="nil"/>
          </w:tcBorders>
        </w:tcPr>
        <w:p w14:paraId="31C23607"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029F7FE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006D0663"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054266E3" w14:textId="77777777">
      <w:tc>
        <w:tcPr>
          <w:tcW w:w="2500" w:type="pct"/>
          <w:tcBorders>
            <w:top w:val="nil"/>
            <w:left w:val="nil"/>
            <w:bottom w:val="nil"/>
            <w:right w:val="nil"/>
          </w:tcBorders>
        </w:tcPr>
        <w:p w14:paraId="55D2CEDD"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1356D552"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separate"/>
          </w:r>
          <w:r w:rsidR="000A5244">
            <w:rPr>
              <w:noProof/>
              <w:color w:val="808080"/>
              <w:sz w:val="18"/>
            </w:rPr>
            <w:t>2</w:t>
          </w:r>
          <w:r>
            <w:rPr>
              <w:color w:val="808080"/>
              <w:sz w:val="18"/>
            </w:rPr>
            <w:fldChar w:fldCharType="end"/>
          </w:r>
        </w:p>
      </w:tc>
    </w:tr>
  </w:tbl>
  <w:p w14:paraId="5F71B980"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3833"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E41C1" w14:textId="77777777" w:rsidR="00D949A8" w:rsidRDefault="00D949A8" w:rsidP="002F5FE7">
      <w:pPr>
        <w:spacing w:after="0" w:line="240" w:lineRule="auto"/>
      </w:pPr>
      <w:r>
        <w:separator/>
      </w:r>
    </w:p>
  </w:footnote>
  <w:footnote w:type="continuationSeparator" w:id="0">
    <w:p w14:paraId="2BA06858" w14:textId="77777777" w:rsidR="00D949A8" w:rsidRDefault="00D949A8"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7836"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7D8C" w14:textId="77777777" w:rsidR="00330D2D" w:rsidRDefault="00000000">
    <w:pPr>
      <w:jc w:val="center"/>
    </w:pPr>
    <w:r>
      <w:rPr>
        <w:b/>
        <w:color w:val="1F4E79"/>
        <w:sz w:val="20"/>
      </w:rPr>
      <w:t>IT8204 Week 5 Session 2 Worksheet v1.0</w:t>
    </w:r>
  </w:p>
  <w:p w14:paraId="172C6650" w14:textId="77777777"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3A40" w14:textId="77777777" w:rsidR="002F5FE7" w:rsidRDefault="002F5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04F8"/>
    <w:multiLevelType w:val="multilevel"/>
    <w:tmpl w:val="7B6AF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C85DD8"/>
    <w:multiLevelType w:val="multilevel"/>
    <w:tmpl w:val="CAA8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3152C8"/>
    <w:multiLevelType w:val="hybridMultilevel"/>
    <w:tmpl w:val="5B1EE036"/>
    <w:lvl w:ilvl="0" w:tplc="2E303E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B84BA7"/>
    <w:multiLevelType w:val="multilevel"/>
    <w:tmpl w:val="0D6A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532180"/>
    <w:multiLevelType w:val="multilevel"/>
    <w:tmpl w:val="D4F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68223">
    <w:abstractNumId w:val="0"/>
  </w:num>
  <w:num w:numId="2" w16cid:durableId="1841043312">
    <w:abstractNumId w:val="4"/>
  </w:num>
  <w:num w:numId="3" w16cid:durableId="982202003">
    <w:abstractNumId w:val="1"/>
  </w:num>
  <w:num w:numId="4" w16cid:durableId="1489056953">
    <w:abstractNumId w:val="3"/>
  </w:num>
  <w:num w:numId="5" w16cid:durableId="629818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0D2D"/>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3716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1F01"/>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77D0A"/>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949A8"/>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4C2A"/>
    <w:rsid w:val="00EF647C"/>
    <w:rsid w:val="00F0254B"/>
    <w:rsid w:val="00F05DD1"/>
    <w:rsid w:val="00F067B1"/>
    <w:rsid w:val="00F155CA"/>
    <w:rsid w:val="00F27272"/>
    <w:rsid w:val="00F40A79"/>
    <w:rsid w:val="00F43451"/>
    <w:rsid w:val="00F449C0"/>
    <w:rsid w:val="00F47E80"/>
    <w:rsid w:val="00F51AE6"/>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C2D0"/>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 w:type="character" w:styleId="Hyperlink">
    <w:name w:val="Hyperlink"/>
    <w:basedOn w:val="DefaultParagraphFont"/>
    <w:uiPriority w:val="99"/>
    <w:unhideWhenUsed/>
    <w:rsid w:val="0043716F"/>
    <w:rPr>
      <w:color w:val="467886" w:themeColor="hyperlink"/>
      <w:u w:val="single"/>
    </w:rPr>
  </w:style>
  <w:style w:type="character" w:styleId="UnresolvedMention">
    <w:name w:val="Unresolved Mention"/>
    <w:basedOn w:val="DefaultParagraphFont"/>
    <w:uiPriority w:val="99"/>
    <w:semiHidden/>
    <w:unhideWhenUsed/>
    <w:rsid w:val="00EF4C2A"/>
    <w:rPr>
      <w:color w:val="605E5C"/>
      <w:shd w:val="clear" w:color="auto" w:fill="E1DFDD"/>
    </w:rPr>
  </w:style>
  <w:style w:type="character" w:styleId="FollowedHyperlink">
    <w:name w:val="FollowedHyperlink"/>
    <w:basedOn w:val="DefaultParagraphFont"/>
    <w:uiPriority w:val="99"/>
    <w:semiHidden/>
    <w:unhideWhenUsed/>
    <w:rsid w:val="00EF4C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cbb.gov.bh/"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Meqdad Mohamed Mohsen Ali Muhana</cp:lastModifiedBy>
  <cp:revision>6</cp:revision>
  <dcterms:created xsi:type="dcterms:W3CDTF">2026-05-16T22:44:00Z</dcterms:created>
  <dcterms:modified xsi:type="dcterms:W3CDTF">2026-10-16T16:51:00Z</dcterms:modified>
</cp:coreProperties>
</file>