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B301" w14:textId="77777777" w:rsidR="00A20542" w:rsidRDefault="00000000">
      <w:r>
        <w:rPr>
          <w:b/>
          <w:color w:val="1F4E79"/>
          <w:sz w:val="36"/>
        </w:rPr>
        <w:t>Worksheet - Key Articles of Bahrain's Data Protection Law, and the Immutability Problem</w:t>
      </w:r>
    </w:p>
    <w:p w14:paraId="7BEF1F53" w14:textId="77777777" w:rsidR="00A20542" w:rsidRDefault="00000000">
      <w:r>
        <w:rPr>
          <w:b/>
          <w:color w:val="1F4E79"/>
        </w:rPr>
        <w:t>Week 6, Session 1  |  Assessment 2 (A2) - the weekly worksheets  |  You submit this yourself</w:t>
      </w:r>
    </w:p>
    <w:p w14:paraId="1F91BDFF" w14:textId="77777777" w:rsidR="00A20542" w:rsidRDefault="00000000">
      <w:r>
        <w:rPr>
          <w:i/>
          <w:color w:val="808080"/>
          <w:sz w:val="18"/>
        </w:rPr>
        <w:t>Complete it in class and submit it on Moodle before you leave.</w:t>
      </w:r>
    </w:p>
    <w:p w14:paraId="3532A971" w14:textId="77777777" w:rsidR="00A20542"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3"/>
        <w:gridCol w:w="5667"/>
      </w:tblGrid>
      <w:tr w:rsidR="00A20542" w14:paraId="56D51FAA" w14:textId="77777777">
        <w:tc>
          <w:tcPr>
            <w:tcW w:w="3744" w:type="dxa"/>
            <w:tcBorders>
              <w:top w:val="single" w:sz="4" w:space="0" w:color="BFBFBF"/>
              <w:left w:val="single" w:sz="4" w:space="0" w:color="BFBFBF"/>
              <w:bottom w:val="single" w:sz="4" w:space="0" w:color="BFBFBF"/>
              <w:right w:val="single" w:sz="4" w:space="0" w:color="BFBFBF"/>
            </w:tcBorders>
          </w:tcPr>
          <w:p w14:paraId="739B2AAA" w14:textId="77777777" w:rsidR="00A20542" w:rsidRDefault="00000000">
            <w:r>
              <w:rPr>
                <w:b/>
                <w:sz w:val="20"/>
              </w:rPr>
              <w:t>Full name</w:t>
            </w:r>
          </w:p>
        </w:tc>
        <w:tc>
          <w:tcPr>
            <w:tcW w:w="5760" w:type="dxa"/>
            <w:tcBorders>
              <w:top w:val="single" w:sz="4" w:space="0" w:color="BFBFBF"/>
              <w:left w:val="single" w:sz="4" w:space="0" w:color="BFBFBF"/>
              <w:bottom w:val="single" w:sz="4" w:space="0" w:color="BFBFBF"/>
              <w:right w:val="single" w:sz="4" w:space="0" w:color="BFBFBF"/>
            </w:tcBorders>
          </w:tcPr>
          <w:p w14:paraId="22C0BB10" w14:textId="7FDA9581" w:rsidR="00A20542" w:rsidRDefault="00DF4075">
            <w:r w:rsidRPr="00E067D0">
              <w:t xml:space="preserve">Meqdad Muhana </w:t>
            </w:r>
          </w:p>
        </w:tc>
      </w:tr>
      <w:tr w:rsidR="00A20542" w14:paraId="48CFF44F" w14:textId="77777777">
        <w:tc>
          <w:tcPr>
            <w:tcW w:w="3744" w:type="dxa"/>
            <w:tcBorders>
              <w:top w:val="single" w:sz="4" w:space="0" w:color="BFBFBF"/>
              <w:left w:val="single" w:sz="4" w:space="0" w:color="BFBFBF"/>
              <w:bottom w:val="single" w:sz="4" w:space="0" w:color="BFBFBF"/>
              <w:right w:val="single" w:sz="4" w:space="0" w:color="BFBFBF"/>
            </w:tcBorders>
          </w:tcPr>
          <w:p w14:paraId="492CA834" w14:textId="77777777" w:rsidR="00A20542" w:rsidRDefault="00000000">
            <w:r>
              <w:rPr>
                <w:b/>
                <w:sz w:val="20"/>
              </w:rPr>
              <w:t>Student ID</w:t>
            </w:r>
          </w:p>
        </w:tc>
        <w:tc>
          <w:tcPr>
            <w:tcW w:w="5760" w:type="dxa"/>
            <w:tcBorders>
              <w:top w:val="single" w:sz="4" w:space="0" w:color="BFBFBF"/>
              <w:left w:val="single" w:sz="4" w:space="0" w:color="BFBFBF"/>
              <w:bottom w:val="single" w:sz="4" w:space="0" w:color="BFBFBF"/>
              <w:right w:val="single" w:sz="4" w:space="0" w:color="BFBFBF"/>
            </w:tcBorders>
          </w:tcPr>
          <w:p w14:paraId="513DBEDD" w14:textId="1DDDFB9C" w:rsidR="00A20542" w:rsidRDefault="00DF4075">
            <w:r w:rsidRPr="00E067D0">
              <w:t>202306213</w:t>
            </w:r>
          </w:p>
        </w:tc>
      </w:tr>
      <w:tr w:rsidR="00A20542" w14:paraId="051927D1" w14:textId="77777777">
        <w:tc>
          <w:tcPr>
            <w:tcW w:w="3744" w:type="dxa"/>
            <w:tcBorders>
              <w:top w:val="single" w:sz="4" w:space="0" w:color="BFBFBF"/>
              <w:left w:val="single" w:sz="4" w:space="0" w:color="BFBFBF"/>
              <w:bottom w:val="single" w:sz="4" w:space="0" w:color="BFBFBF"/>
              <w:right w:val="single" w:sz="4" w:space="0" w:color="BFBFBF"/>
            </w:tcBorders>
          </w:tcPr>
          <w:p w14:paraId="6CDC543C" w14:textId="77777777" w:rsidR="00A20542" w:rsidRDefault="00000000">
            <w:r>
              <w:rPr>
                <w:b/>
                <w:sz w:val="20"/>
              </w:rPr>
              <w:t>Today's partner / group</w:t>
            </w:r>
          </w:p>
        </w:tc>
        <w:tc>
          <w:tcPr>
            <w:tcW w:w="5760" w:type="dxa"/>
            <w:tcBorders>
              <w:top w:val="single" w:sz="4" w:space="0" w:color="BFBFBF"/>
              <w:left w:val="single" w:sz="4" w:space="0" w:color="BFBFBF"/>
              <w:bottom w:val="single" w:sz="4" w:space="0" w:color="BFBFBF"/>
              <w:right w:val="single" w:sz="4" w:space="0" w:color="BFBFBF"/>
            </w:tcBorders>
          </w:tcPr>
          <w:p w14:paraId="5B988452" w14:textId="30A45428" w:rsidR="00A20542" w:rsidRDefault="00DF4075">
            <w:r>
              <w:t xml:space="preserve">Ali Mohammed Radhi – 202304871, </w:t>
            </w:r>
            <w:r w:rsidRPr="00E067D0">
              <w:t>Sayed Ali Mahmood - 202301601</w:t>
            </w:r>
          </w:p>
        </w:tc>
      </w:tr>
    </w:tbl>
    <w:p w14:paraId="3119313A" w14:textId="77777777" w:rsidR="00A20542" w:rsidRDefault="00000000">
      <w:pPr>
        <w:spacing w:before="200" w:after="80"/>
      </w:pPr>
      <w:r>
        <w:rPr>
          <w:b/>
          <w:color w:val="1F4E79"/>
          <w:sz w:val="26"/>
        </w:rPr>
        <w:t>How this worksheet works</w:t>
      </w:r>
    </w:p>
    <w:p w14:paraId="2E824FAB" w14:textId="77777777" w:rsidR="00A20542" w:rsidRDefault="00000000">
      <w:pPr>
        <w:spacing w:after="40"/>
        <w:ind w:left="432" w:hanging="216"/>
      </w:pPr>
      <w:r>
        <w:rPr>
          <w:sz w:val="22"/>
        </w:rPr>
        <w:t>•  This worksheet counts towards Assessment 2. You complete and submit it yourself, even when you work with others.</w:t>
      </w:r>
    </w:p>
    <w:p w14:paraId="5837258B" w14:textId="77777777" w:rsidR="00A20542" w:rsidRDefault="00000000">
      <w:pPr>
        <w:spacing w:after="40"/>
        <w:ind w:left="432" w:hanging="216"/>
      </w:pPr>
      <w:r>
        <w:rPr>
          <w:sz w:val="22"/>
        </w:rPr>
        <w:t>•  Write your answers in your own words, and list any sources you used in Task 4.</w:t>
      </w:r>
    </w:p>
    <w:p w14:paraId="56A817D7" w14:textId="77777777" w:rsidR="00A20542" w:rsidRDefault="00000000">
      <w:pPr>
        <w:spacing w:before="200" w:after="80"/>
      </w:pPr>
      <w:r>
        <w:rPr>
          <w:b/>
          <w:color w:val="1F4E79"/>
          <w:sz w:val="26"/>
        </w:rPr>
        <w:t>Words to know</w:t>
      </w:r>
    </w:p>
    <w:p w14:paraId="09A784DA" w14:textId="77777777" w:rsidR="00A20542"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46"/>
        <w:gridCol w:w="6504"/>
      </w:tblGrid>
      <w:tr w:rsidR="00A20542" w14:paraId="131D5D03"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7AA04854" w14:textId="77777777" w:rsidR="00A20542"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7203B400" w14:textId="77777777" w:rsidR="00A20542" w:rsidRDefault="00000000">
            <w:r>
              <w:rPr>
                <w:b/>
                <w:color w:val="FFFFFF"/>
                <w:sz w:val="20"/>
              </w:rPr>
              <w:t>Plain meaning</w:t>
            </w:r>
          </w:p>
        </w:tc>
      </w:tr>
      <w:tr w:rsidR="00A20542" w14:paraId="648D270A" w14:textId="77777777">
        <w:tc>
          <w:tcPr>
            <w:tcW w:w="2880" w:type="dxa"/>
            <w:tcBorders>
              <w:top w:val="single" w:sz="4" w:space="0" w:color="BFBFBF"/>
              <w:left w:val="single" w:sz="4" w:space="0" w:color="BFBFBF"/>
              <w:bottom w:val="single" w:sz="4" w:space="0" w:color="BFBFBF"/>
              <w:right w:val="single" w:sz="4" w:space="0" w:color="BFBFBF"/>
            </w:tcBorders>
          </w:tcPr>
          <w:p w14:paraId="6885FD0D" w14:textId="77777777" w:rsidR="00A20542" w:rsidRDefault="00000000">
            <w:r>
              <w:rPr>
                <w:sz w:val="20"/>
              </w:rPr>
              <w:t>Off-chain</w:t>
            </w:r>
          </w:p>
        </w:tc>
        <w:tc>
          <w:tcPr>
            <w:tcW w:w="6624" w:type="dxa"/>
            <w:tcBorders>
              <w:top w:val="single" w:sz="4" w:space="0" w:color="BFBFBF"/>
              <w:left w:val="single" w:sz="4" w:space="0" w:color="BFBFBF"/>
              <w:bottom w:val="single" w:sz="4" w:space="0" w:color="BFBFBF"/>
              <w:right w:val="single" w:sz="4" w:space="0" w:color="BFBFBF"/>
            </w:tcBorders>
          </w:tcPr>
          <w:p w14:paraId="7749C811" w14:textId="77777777" w:rsidR="00A20542" w:rsidRDefault="00000000">
            <w:r>
              <w:rPr>
                <w:sz w:val="20"/>
              </w:rPr>
              <w:t>Kept or done outside the blockchain record, such as a customer's identity documents held in a firm's own files.</w:t>
            </w:r>
          </w:p>
        </w:tc>
      </w:tr>
      <w:tr w:rsidR="00A20542" w14:paraId="7904AF4A"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161F9602" w14:textId="77777777" w:rsidR="00A20542" w:rsidRDefault="00000000">
            <w:r>
              <w:rPr>
                <w:sz w:val="20"/>
              </w:rPr>
              <w:t>On-chain</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54CA895E" w14:textId="77777777" w:rsidR="00A20542" w:rsidRDefault="00000000">
            <w:r>
              <w:rPr>
                <w:sz w:val="20"/>
              </w:rPr>
              <w:t>Recorded on the blockchain itself, so anyone with access can see it and nobody can quietly change it.</w:t>
            </w:r>
          </w:p>
        </w:tc>
      </w:tr>
      <w:tr w:rsidR="00A20542" w14:paraId="6E8F5CDF" w14:textId="77777777">
        <w:tc>
          <w:tcPr>
            <w:tcW w:w="2880" w:type="dxa"/>
            <w:tcBorders>
              <w:top w:val="single" w:sz="4" w:space="0" w:color="BFBFBF"/>
              <w:left w:val="single" w:sz="4" w:space="0" w:color="BFBFBF"/>
              <w:bottom w:val="single" w:sz="4" w:space="0" w:color="BFBFBF"/>
              <w:right w:val="single" w:sz="4" w:space="0" w:color="BFBFBF"/>
            </w:tcBorders>
          </w:tcPr>
          <w:p w14:paraId="43C5A969" w14:textId="77777777" w:rsidR="00A20542" w:rsidRDefault="00000000">
            <w:r>
              <w:rPr>
                <w:sz w:val="20"/>
              </w:rPr>
              <w:t>Permissioned</w:t>
            </w:r>
          </w:p>
        </w:tc>
        <w:tc>
          <w:tcPr>
            <w:tcW w:w="6624" w:type="dxa"/>
            <w:tcBorders>
              <w:top w:val="single" w:sz="4" w:space="0" w:color="BFBFBF"/>
              <w:left w:val="single" w:sz="4" w:space="0" w:color="BFBFBF"/>
              <w:bottom w:val="single" w:sz="4" w:space="0" w:color="BFBFBF"/>
              <w:right w:val="single" w:sz="4" w:space="0" w:color="BFBFBF"/>
            </w:tcBorders>
          </w:tcPr>
          <w:p w14:paraId="110100FB" w14:textId="77777777" w:rsidR="00A20542" w:rsidRDefault="00000000">
            <w:r>
              <w:rPr>
                <w:sz w:val="20"/>
              </w:rPr>
              <w:t>A shared record book that only approved, named participants may join and help run.</w:t>
            </w:r>
          </w:p>
        </w:tc>
      </w:tr>
      <w:tr w:rsidR="00A20542" w14:paraId="76E2C7D2"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0CEABFFD" w14:textId="77777777" w:rsidR="00A20542" w:rsidRDefault="00000000">
            <w:r>
              <w:rPr>
                <w:sz w:val="20"/>
              </w:rPr>
              <w:t>Mitigation</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24D412D2" w14:textId="77777777" w:rsidR="00A20542" w:rsidRDefault="00000000">
            <w:r>
              <w:rPr>
                <w:sz w:val="20"/>
              </w:rPr>
              <w:t>A specific action taken to make a risk less likely to happen, or less damaging if it does.</w:t>
            </w:r>
          </w:p>
        </w:tc>
      </w:tr>
      <w:tr w:rsidR="00A20542" w14:paraId="6202493D" w14:textId="77777777">
        <w:tc>
          <w:tcPr>
            <w:tcW w:w="2880" w:type="dxa"/>
            <w:tcBorders>
              <w:top w:val="single" w:sz="4" w:space="0" w:color="BFBFBF"/>
              <w:left w:val="single" w:sz="4" w:space="0" w:color="BFBFBF"/>
              <w:bottom w:val="single" w:sz="4" w:space="0" w:color="BFBFBF"/>
              <w:right w:val="single" w:sz="4" w:space="0" w:color="BFBFBF"/>
            </w:tcBorders>
          </w:tcPr>
          <w:p w14:paraId="7518B2B4" w14:textId="77777777" w:rsidR="00A20542" w:rsidRDefault="00000000">
            <w:r>
              <w:rPr>
                <w:sz w:val="20"/>
              </w:rPr>
              <w:t>Data controller</w:t>
            </w:r>
          </w:p>
        </w:tc>
        <w:tc>
          <w:tcPr>
            <w:tcW w:w="6624" w:type="dxa"/>
            <w:tcBorders>
              <w:top w:val="single" w:sz="4" w:space="0" w:color="BFBFBF"/>
              <w:left w:val="single" w:sz="4" w:space="0" w:color="BFBFBF"/>
              <w:bottom w:val="single" w:sz="4" w:space="0" w:color="BFBFBF"/>
              <w:right w:val="single" w:sz="4" w:space="0" w:color="BFBFBF"/>
            </w:tcBorders>
          </w:tcPr>
          <w:p w14:paraId="4F8CA77D" w14:textId="77777777" w:rsidR="00A20542" w:rsidRDefault="00000000">
            <w:r>
              <w:rPr>
                <w:sz w:val="20"/>
              </w:rPr>
              <w:t xml:space="preserve">The </w:t>
            </w:r>
            <w:proofErr w:type="spellStart"/>
            <w:r>
              <w:rPr>
                <w:sz w:val="20"/>
              </w:rPr>
              <w:t>organisation</w:t>
            </w:r>
            <w:proofErr w:type="spellEnd"/>
            <w:r>
              <w:rPr>
                <w:sz w:val="20"/>
              </w:rPr>
              <w:t xml:space="preserve"> that decides why and how personal data is collected and used. The law puts the duties on this </w:t>
            </w:r>
            <w:proofErr w:type="spellStart"/>
            <w:r>
              <w:rPr>
                <w:sz w:val="20"/>
              </w:rPr>
              <w:t>organisation</w:t>
            </w:r>
            <w:proofErr w:type="spellEnd"/>
            <w:r>
              <w:rPr>
                <w:sz w:val="20"/>
              </w:rPr>
              <w:t>.</w:t>
            </w:r>
          </w:p>
        </w:tc>
      </w:tr>
      <w:tr w:rsidR="00A20542" w14:paraId="02F01530"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0CC09968" w14:textId="77777777" w:rsidR="00A20542" w:rsidRDefault="00000000">
            <w:r>
              <w:rPr>
                <w:sz w:val="20"/>
              </w:rPr>
              <w:lastRenderedPageBreak/>
              <w:t>Residual risk</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53C9E201" w14:textId="77777777" w:rsidR="00A20542" w:rsidRDefault="00000000">
            <w:r>
              <w:rPr>
                <w:sz w:val="20"/>
              </w:rPr>
              <w:t>The risk that is still left after you have put your mitigation in place. It is never zero, and naming it honestly is the point.</w:t>
            </w:r>
          </w:p>
        </w:tc>
      </w:tr>
    </w:tbl>
    <w:p w14:paraId="4F69773A" w14:textId="77777777" w:rsidR="00A20542" w:rsidRDefault="00000000">
      <w:pPr>
        <w:spacing w:before="200" w:after="80"/>
      </w:pPr>
      <w:r>
        <w:rPr>
          <w:b/>
          <w:color w:val="1F4E79"/>
          <w:sz w:val="26"/>
        </w:rPr>
        <w:t>Task 1 - From the reading</w:t>
      </w:r>
    </w:p>
    <w:p w14:paraId="1C0FCD08" w14:textId="77777777" w:rsidR="00A20542" w:rsidRDefault="00000000">
      <w:r>
        <w:rPr>
          <w:i/>
          <w:sz w:val="22"/>
        </w:rPr>
        <w:t>Answer the guiding questions from the structured extract.</w:t>
      </w:r>
    </w:p>
    <w:p w14:paraId="25397809" w14:textId="77777777" w:rsidR="00A20542" w:rsidRDefault="00000000">
      <w:r>
        <w:rPr>
          <w:i/>
          <w:sz w:val="20"/>
        </w:rPr>
        <w:t>Expected: 2-3 sentences per question.</w:t>
      </w:r>
    </w:p>
    <w:p w14:paraId="28BEB9BA" w14:textId="77777777" w:rsidR="00A20542" w:rsidRDefault="00000000">
      <w:r>
        <w:rPr>
          <w:b/>
          <w:sz w:val="22"/>
        </w:rPr>
        <w:t>Q1. Why does immutability clash with Personal Data Protection Law (PDPL) Article 23?</w:t>
      </w:r>
    </w:p>
    <w:tbl>
      <w:tblPr>
        <w:tblW w:w="0" w:type="auto"/>
        <w:tblLook w:val="04A0" w:firstRow="1" w:lastRow="0" w:firstColumn="1" w:lastColumn="0" w:noHBand="0" w:noVBand="1"/>
      </w:tblPr>
      <w:tblGrid>
        <w:gridCol w:w="9350"/>
      </w:tblGrid>
      <w:tr w:rsidR="00A20542" w14:paraId="55A9BB39" w14:textId="77777777" w:rsidTr="00DF4075">
        <w:tc>
          <w:tcPr>
            <w:tcW w:w="9350" w:type="dxa"/>
            <w:tcBorders>
              <w:top w:val="single" w:sz="4" w:space="0" w:color="BFBFBF"/>
              <w:left w:val="single" w:sz="4" w:space="0" w:color="BFBFBF"/>
              <w:bottom w:val="single" w:sz="4" w:space="0" w:color="BFBFBF"/>
              <w:right w:val="single" w:sz="4" w:space="0" w:color="BFBFBF"/>
            </w:tcBorders>
          </w:tcPr>
          <w:p w14:paraId="37E7E0D9" w14:textId="5CFE47A5" w:rsidR="00A20542" w:rsidRDefault="00CF77BE" w:rsidP="00CF77BE">
            <w:r w:rsidRPr="00CF77BE">
              <w:t>Under Article 23 of Bahrain's Personal Data Protection Law (Law 30 of 2018), a data subject can ask the data controller to rectify, block, or erase their personal data, and the controller must comply free of charge within 10 working days while notifying third-party recipients within 15 days. A blockchain clashes directly with this legal duty because it is an append-only shared ledger where every block is cryptographically locked to the block before it across independent computers (Structured Extract, page 1). Because changing or deleting a past record would invalidate the cryptographic hash of every subsequent block, no single controller can unilaterally erase or amend personal data once it is written on-chain (Finck, 2019, section 4).</w:t>
            </w:r>
          </w:p>
        </w:tc>
      </w:tr>
    </w:tbl>
    <w:p w14:paraId="3F81EBB5" w14:textId="77777777" w:rsidR="00A20542" w:rsidRDefault="00000000">
      <w:r>
        <w:rPr>
          <w:b/>
          <w:sz w:val="22"/>
        </w:rPr>
        <w:t xml:space="preserve">Q2. Which mitigation would you choose for a loyalty </w:t>
      </w:r>
      <w:proofErr w:type="spellStart"/>
      <w:r>
        <w:rPr>
          <w:b/>
          <w:sz w:val="22"/>
        </w:rPr>
        <w:t>programme</w:t>
      </w:r>
      <w:proofErr w:type="spellEnd"/>
      <w:r>
        <w:rPr>
          <w:b/>
          <w:sz w:val="22"/>
        </w:rPr>
        <w:t>, and why?</w:t>
      </w:r>
    </w:p>
    <w:tbl>
      <w:tblPr>
        <w:tblW w:w="0" w:type="auto"/>
        <w:tblLook w:val="04A0" w:firstRow="1" w:lastRow="0" w:firstColumn="1" w:lastColumn="0" w:noHBand="0" w:noVBand="1"/>
      </w:tblPr>
      <w:tblGrid>
        <w:gridCol w:w="9350"/>
      </w:tblGrid>
      <w:tr w:rsidR="00A20542" w14:paraId="04562E70" w14:textId="77777777" w:rsidTr="00DF4075">
        <w:tc>
          <w:tcPr>
            <w:tcW w:w="9350" w:type="dxa"/>
            <w:tcBorders>
              <w:top w:val="single" w:sz="4" w:space="0" w:color="BFBFBF"/>
              <w:left w:val="single" w:sz="4" w:space="0" w:color="BFBFBF"/>
              <w:bottom w:val="single" w:sz="4" w:space="0" w:color="BFBFBF"/>
              <w:right w:val="single" w:sz="4" w:space="0" w:color="BFBFBF"/>
            </w:tcBorders>
          </w:tcPr>
          <w:p w14:paraId="763C5A03" w14:textId="4DA62ADB" w:rsidR="00A20542" w:rsidRDefault="00CF77BE" w:rsidP="00CF77BE">
            <w:r w:rsidRPr="00CF77BE">
              <w:t xml:space="preserve">For a Bahraini retail-bank loyalty </w:t>
            </w:r>
            <w:proofErr w:type="spellStart"/>
            <w:r w:rsidRPr="00CF77BE">
              <w:t>programme</w:t>
            </w:r>
            <w:proofErr w:type="spellEnd"/>
            <w:r w:rsidRPr="00CF77BE">
              <w:t xml:space="preserve">, I would choose keeping all customer personal data off-chain in the bank's secure database and writing only a salted one-way cryptographic hash to the blockchain (Structured Extract, page 1). This mitigation outweighs crypto-shredding and </w:t>
            </w:r>
            <w:proofErr w:type="spellStart"/>
            <w:r w:rsidRPr="00CF77BE">
              <w:t>pseudonymisation</w:t>
            </w:r>
            <w:proofErr w:type="spellEnd"/>
            <w:r w:rsidRPr="00CF77BE">
              <w:t xml:space="preserve"> because raw or encrypted personal details never touch the immutable chain at all, allowing the bank to satisfy an Article 23 erasure request within 10 working days simply by deleting the off-chain record. This choice would only flip to a redactable chameleon ledger if a closed consortium of banks had to store full customer records on-chain under Central Bank of Bahrain (CBB) multi-party key governance.</w:t>
            </w:r>
          </w:p>
        </w:tc>
      </w:tr>
    </w:tbl>
    <w:p w14:paraId="7A7430B1" w14:textId="77777777" w:rsidR="00A20542" w:rsidRDefault="00000000">
      <w:r>
        <w:rPr>
          <w:b/>
          <w:sz w:val="22"/>
        </w:rPr>
        <w:t>Q3. What does your chosen mitigation still fail to solve?</w:t>
      </w:r>
    </w:p>
    <w:tbl>
      <w:tblPr>
        <w:tblW w:w="0" w:type="auto"/>
        <w:tblLook w:val="04A0" w:firstRow="1" w:lastRow="0" w:firstColumn="1" w:lastColumn="0" w:noHBand="0" w:noVBand="1"/>
      </w:tblPr>
      <w:tblGrid>
        <w:gridCol w:w="9350"/>
      </w:tblGrid>
      <w:tr w:rsidR="00A20542" w14:paraId="0FD6498C" w14:textId="77777777" w:rsidTr="00DF4075">
        <w:tc>
          <w:tcPr>
            <w:tcW w:w="9350" w:type="dxa"/>
            <w:tcBorders>
              <w:top w:val="single" w:sz="4" w:space="0" w:color="BFBFBF"/>
              <w:left w:val="single" w:sz="4" w:space="0" w:color="BFBFBF"/>
              <w:bottom w:val="single" w:sz="4" w:space="0" w:color="BFBFBF"/>
              <w:right w:val="single" w:sz="4" w:space="0" w:color="BFBFBF"/>
            </w:tcBorders>
          </w:tcPr>
          <w:p w14:paraId="567CE126" w14:textId="37525FD4" w:rsidR="00A20542" w:rsidRDefault="00CF77BE" w:rsidP="00CF77BE">
            <w:r w:rsidRPr="00CF77BE">
              <w:t xml:space="preserve">Deleting the off-chain database record still fails to remove the on-chain hash or the customer's pattern of loyalty transactions—such as timestamps, point amounts, and merchant redemptions—which remain permanently visible on the blockchain (Structured Extract, page 1). As Finck (2019, section 3) explains, an on-chain hash and its transaction history remain vulnerable to re-identification if an observer correlates those permanent activity patterns with outside records like merchant till receipts. Because of </w:t>
            </w:r>
            <w:r w:rsidRPr="00CF77BE">
              <w:lastRenderedPageBreak/>
              <w:t xml:space="preserve">this residual risk, the bank must also </w:t>
            </w:r>
            <w:proofErr w:type="spellStart"/>
            <w:r w:rsidRPr="00CF77BE">
              <w:t>practise</w:t>
            </w:r>
            <w:proofErr w:type="spellEnd"/>
            <w:r w:rsidRPr="00CF77BE">
              <w:t xml:space="preserve"> strict data </w:t>
            </w:r>
            <w:proofErr w:type="spellStart"/>
            <w:r w:rsidRPr="00CF77BE">
              <w:t>minimisation</w:t>
            </w:r>
            <w:proofErr w:type="spellEnd"/>
            <w:r w:rsidRPr="00CF77BE">
              <w:t xml:space="preserve"> by writing as little transaction detail to the chain as possible in the first place.</w:t>
            </w:r>
          </w:p>
        </w:tc>
      </w:tr>
    </w:tbl>
    <w:p w14:paraId="51B05141" w14:textId="77777777" w:rsidR="00A20542" w:rsidRDefault="00000000">
      <w:pPr>
        <w:spacing w:before="200" w:after="80"/>
      </w:pPr>
      <w:r>
        <w:rPr>
          <w:b/>
          <w:color w:val="1F4E79"/>
          <w:sz w:val="26"/>
        </w:rPr>
        <w:lastRenderedPageBreak/>
        <w:t>Task 2 - Apply it (individual build task)</w:t>
      </w:r>
    </w:p>
    <w:p w14:paraId="742A18D4" w14:textId="77777777" w:rsidR="00A20542" w:rsidRDefault="00000000">
      <w:r>
        <w:rPr>
          <w:i/>
          <w:sz w:val="22"/>
        </w:rPr>
        <w:t>Now use the ideas from Task 1 to do this, in your own words:</w:t>
      </w:r>
    </w:p>
    <w:p w14:paraId="0E0784A4" w14:textId="77777777" w:rsidR="00A20542" w:rsidRDefault="00000000">
      <w:r>
        <w:rPr>
          <w:b/>
          <w:sz w:val="22"/>
        </w:rPr>
        <w:t>A customer of a Bahraini crypto exchange demands erasure of their know your customer (KYC) records, but the exchange wrote KYC data directly to its permissioned chain. State ONE design change that would still let the exchange meet this request under PDPL Article 23, and say what that change still does not solve.</w:t>
      </w:r>
    </w:p>
    <w:p w14:paraId="5178325D" w14:textId="77777777" w:rsidR="00A20542" w:rsidRDefault="00000000">
      <w:r>
        <w:rPr>
          <w:i/>
          <w:sz w:val="20"/>
        </w:rPr>
        <w:t>Expected: 3-5 sentences.</w:t>
      </w:r>
    </w:p>
    <w:tbl>
      <w:tblPr>
        <w:tblW w:w="0" w:type="auto"/>
        <w:tblLook w:val="04A0" w:firstRow="1" w:lastRow="0" w:firstColumn="1" w:lastColumn="0" w:noHBand="0" w:noVBand="1"/>
      </w:tblPr>
      <w:tblGrid>
        <w:gridCol w:w="9350"/>
      </w:tblGrid>
      <w:tr w:rsidR="00A20542" w14:paraId="6E5E458C" w14:textId="77777777" w:rsidTr="00DF4075">
        <w:tc>
          <w:tcPr>
            <w:tcW w:w="9350" w:type="dxa"/>
            <w:tcBorders>
              <w:top w:val="single" w:sz="4" w:space="0" w:color="BFBFBF"/>
              <w:left w:val="single" w:sz="4" w:space="0" w:color="BFBFBF"/>
              <w:bottom w:val="single" w:sz="4" w:space="0" w:color="BFBFBF"/>
              <w:right w:val="single" w:sz="4" w:space="0" w:color="BFBFBF"/>
            </w:tcBorders>
          </w:tcPr>
          <w:p w14:paraId="0B30E8C3" w14:textId="1017BE74" w:rsidR="00A20542" w:rsidRDefault="00713BA1" w:rsidP="00713BA1">
            <w:r w:rsidRPr="00713BA1">
              <w:t>To meet PDPL Article 23 requests within the statutory 10-working-day limit, the Bahraini exchange must make one architectural change: move all customer KYC personal data off-chain into an access-controlled database and write only a salted one-way cryptographic hash (verification pointer) to its permissioned chain. When a customer requests erasure, the exchange deletes the off-chain KYC record and its cryptographic salt so the on-chain hash can no longer be linked back to any natural person. However, weighing competing legal duties between PDPL Article 23 privacy rights and Central Bank of Bahrain (CBB) Module CRA (CRA-7 AML/CFT and CRA-8 custody) rules—which require retaining KYC and transaction records for 5 to 10 years—means the exchange can only block commercial processing immediately and cannot permanently delete the off-chain KYC file until the mandatory CBB retention period expires. Finally, this single design change still does not erase the historical plaintext KYC already written into earlier blocks before the redesign, nor does it hide the permanent on-chain hash and transaction pattern visible to permissioned nodes.</w:t>
            </w:r>
          </w:p>
        </w:tc>
      </w:tr>
    </w:tbl>
    <w:p w14:paraId="79AB3D40" w14:textId="77777777" w:rsidR="00A20542" w:rsidRDefault="00000000">
      <w:pPr>
        <w:spacing w:before="200" w:after="80"/>
      </w:pPr>
      <w:r>
        <w:rPr>
          <w:b/>
          <w:color w:val="1F4E79"/>
          <w:sz w:val="26"/>
        </w:rPr>
        <w:t>Task 3 - Group activity (your own write-up)</w:t>
      </w:r>
    </w:p>
    <w:p w14:paraId="3959C912" w14:textId="77777777" w:rsidR="00A20542" w:rsidRDefault="00000000">
      <w:r>
        <w:rPr>
          <w:b/>
          <w:sz w:val="22"/>
        </w:rPr>
        <w:t>Design a PDPL-compliant architecture.</w:t>
      </w:r>
    </w:p>
    <w:p w14:paraId="44838517" w14:textId="77777777" w:rsidR="00A20542" w:rsidRDefault="00000000">
      <w:r>
        <w:rPr>
          <w:i/>
          <w:sz w:val="22"/>
        </w:rPr>
        <w:t xml:space="preserve">Choose two or three people to work with. Together, design a data architecture for a Bahraini retail-bank loyalty </w:t>
      </w:r>
      <w:proofErr w:type="spellStart"/>
      <w:r>
        <w:rPr>
          <w:i/>
          <w:sz w:val="22"/>
        </w:rPr>
        <w:t>programme</w:t>
      </w:r>
      <w:proofErr w:type="spellEnd"/>
      <w:r>
        <w:rPr>
          <w:i/>
          <w:sz w:val="22"/>
        </w:rPr>
        <w:t xml:space="preserve">; each submits their own sketch and trade-off </w:t>
      </w:r>
      <w:proofErr w:type="spellStart"/>
      <w:r>
        <w:rPr>
          <w:i/>
          <w:sz w:val="22"/>
        </w:rPr>
        <w:t>defence</w:t>
      </w:r>
      <w:proofErr w:type="spellEnd"/>
      <w:r>
        <w:rPr>
          <w:i/>
          <w:sz w:val="22"/>
        </w:rPr>
        <w:t>.</w:t>
      </w:r>
    </w:p>
    <w:p w14:paraId="04959D20" w14:textId="77777777" w:rsidR="00A20542" w:rsidRDefault="00000000">
      <w:pPr>
        <w:spacing w:after="40"/>
        <w:ind w:left="432" w:hanging="216"/>
      </w:pPr>
      <w:r>
        <w:rPr>
          <w:sz w:val="22"/>
        </w:rPr>
        <w:t>•  Decide what goes on-chain versus off-chain.</w:t>
      </w:r>
    </w:p>
    <w:p w14:paraId="7AB978F6" w14:textId="77777777" w:rsidR="00A20542" w:rsidRDefault="00000000">
      <w:pPr>
        <w:spacing w:after="40"/>
        <w:ind w:left="432" w:hanging="216"/>
      </w:pPr>
      <w:r>
        <w:rPr>
          <w:sz w:val="22"/>
        </w:rPr>
        <w:t>•  Choose an erasure mitigation for Article 23 and justify it.</w:t>
      </w:r>
    </w:p>
    <w:p w14:paraId="3862793E" w14:textId="77777777" w:rsidR="00A20542" w:rsidRDefault="00000000">
      <w:pPr>
        <w:spacing w:after="40"/>
        <w:ind w:left="432" w:hanging="216"/>
      </w:pPr>
      <w:r>
        <w:rPr>
          <w:sz w:val="22"/>
        </w:rPr>
        <w:t>•  Show how access is controlled so data cannot be re-linked to a person.</w:t>
      </w:r>
    </w:p>
    <w:p w14:paraId="34D20D60" w14:textId="77777777" w:rsidR="00A20542" w:rsidRDefault="00000000">
      <w:pPr>
        <w:spacing w:after="40"/>
        <w:ind w:left="432" w:hanging="216"/>
      </w:pPr>
      <w:r>
        <w:rPr>
          <w:sz w:val="22"/>
        </w:rPr>
        <w:t>•  State the residual risk your design still carries.</w:t>
      </w:r>
    </w:p>
    <w:p w14:paraId="7957EB25" w14:textId="77777777" w:rsidR="00A20542" w:rsidRDefault="00000000">
      <w:r>
        <w:rPr>
          <w:i/>
          <w:sz w:val="20"/>
        </w:rPr>
        <w:t>Expected: complete the activity above, then write your own answer of about half a page.</w:t>
      </w:r>
    </w:p>
    <w:p w14:paraId="3CE4F163" w14:textId="77777777" w:rsidR="00A20542" w:rsidRDefault="00000000">
      <w:r>
        <w:rPr>
          <w:b/>
          <w:sz w:val="22"/>
        </w:rPr>
        <w:lastRenderedPageBreak/>
        <w:t>Write your own answer here:</w:t>
      </w:r>
    </w:p>
    <w:tbl>
      <w:tblPr>
        <w:tblW w:w="0" w:type="auto"/>
        <w:tblLook w:val="04A0" w:firstRow="1" w:lastRow="0" w:firstColumn="1" w:lastColumn="0" w:noHBand="0" w:noVBand="1"/>
      </w:tblPr>
      <w:tblGrid>
        <w:gridCol w:w="9350"/>
      </w:tblGrid>
      <w:tr w:rsidR="00A20542" w14:paraId="35ABB375" w14:textId="77777777" w:rsidTr="00DF4075">
        <w:tc>
          <w:tcPr>
            <w:tcW w:w="9350" w:type="dxa"/>
            <w:tcBorders>
              <w:top w:val="single" w:sz="4" w:space="0" w:color="BFBFBF"/>
              <w:left w:val="single" w:sz="4" w:space="0" w:color="BFBFBF"/>
              <w:bottom w:val="single" w:sz="4" w:space="0" w:color="BFBFBF"/>
              <w:right w:val="single" w:sz="4" w:space="0" w:color="BFBFBF"/>
            </w:tcBorders>
          </w:tcPr>
          <w:p w14:paraId="7BF78681" w14:textId="77777777" w:rsidR="00CF77BE" w:rsidRPr="00CF77BE" w:rsidRDefault="00CF77BE" w:rsidP="00CF77BE">
            <w:r w:rsidRPr="00CF77BE">
              <w:rPr>
                <w:b/>
                <w:bCs/>
              </w:rPr>
              <w:t>Architecture Sketch:</w:t>
            </w:r>
          </w:p>
          <w:p w14:paraId="61F00C5B" w14:textId="77777777" w:rsidR="00CF77BE" w:rsidRPr="00CF77BE" w:rsidRDefault="00CF77BE" w:rsidP="00CF77BE">
            <w:r w:rsidRPr="00CF77BE">
              <w:t>[Retail Customer] -&gt; [Bank Off-Chain Database &amp; HSM Vault: Name, 9-digit CPR, Phone, Random Salt] --(Writes Salted One-Way Hash &amp; Point Delta Only)--&gt; [Permissioned Blockchain Ledger: Bank Node + Approved Bahraini Merchant Nodes]</w:t>
            </w:r>
          </w:p>
          <w:p w14:paraId="3108775B" w14:textId="77777777" w:rsidR="00CF77BE" w:rsidRPr="00CF77BE" w:rsidRDefault="00CF77BE" w:rsidP="00CF77BE">
            <w:r w:rsidRPr="00CF77BE">
              <w:rPr>
                <w:b/>
                <w:bCs/>
              </w:rPr>
              <w:t>On-Chain versus Off-Chain Data Split:</w:t>
            </w:r>
          </w:p>
          <w:p w14:paraId="2CD7B37A" w14:textId="77777777" w:rsidR="00CF77BE" w:rsidRPr="00CF77BE" w:rsidRDefault="00CF77BE" w:rsidP="00CF77BE">
            <w:r w:rsidRPr="00CF77BE">
              <w:t xml:space="preserve">In this Bahraini retail-bank loyalty </w:t>
            </w:r>
            <w:proofErr w:type="spellStart"/>
            <w:r w:rsidRPr="00CF77BE">
              <w:t>programme</w:t>
            </w:r>
            <w:proofErr w:type="spellEnd"/>
            <w:r w:rsidRPr="00CF77BE">
              <w:t xml:space="preserve">, all personal identifiers—including the customer's full name, 9-digit Bahraini Central Population Registry (CPR) number, mobile number, and bank account details—stay strictly off-chain inside the bank's encrypted relational database in Manama, preventing any unauthorized cross-border data transfer under PDPL Article 12. Only a salted one-way cryptographic hash generated from a random internal loyalty ID (never an unsalted hash of the 9-digit CPR number, which could be brute-forced across Bahrain's population) and the minimum loyalty point minting or redemption balances are written on-chain to the permissioned ledger. </w:t>
            </w:r>
          </w:p>
          <w:p w14:paraId="6A0D2BDB" w14:textId="77777777" w:rsidR="00CF77BE" w:rsidRPr="00CF77BE" w:rsidRDefault="00CF77BE" w:rsidP="00CF77BE">
            <w:r w:rsidRPr="00CF77BE">
              <w:rPr>
                <w:b/>
                <w:bCs/>
              </w:rPr>
              <w:t xml:space="preserve">Article 23 Erasure Mitigation and Trade-Off </w:t>
            </w:r>
            <w:proofErr w:type="spellStart"/>
            <w:r w:rsidRPr="00CF77BE">
              <w:rPr>
                <w:b/>
                <w:bCs/>
              </w:rPr>
              <w:t>Defence</w:t>
            </w:r>
            <w:proofErr w:type="spellEnd"/>
            <w:r w:rsidRPr="00CF77BE">
              <w:rPr>
                <w:b/>
                <w:bCs/>
              </w:rPr>
              <w:t>:</w:t>
            </w:r>
          </w:p>
          <w:p w14:paraId="165856EA" w14:textId="77777777" w:rsidR="00CF77BE" w:rsidRPr="00CF77BE" w:rsidRDefault="00CF77BE" w:rsidP="00CF77BE">
            <w:r w:rsidRPr="00CF77BE">
              <w:t xml:space="preserve">To satisfy PDPL Article 23 (Law 30 of 2018) within the mandatory 10-working-day response limit, the bank uses the off-chain storage with an on-chain one-way hash mitigation, collecting specific opt-in customer consent at sign-up under PDPL Article 24. Weighing competing legal duties between customer privacy (PDPL Article 23) and Central Bank of Bahrain (CBB) accounting and audit record-keeping rules, if a customer requests erasure while financial audit rules still apply, the bank immediately blocks the off-chain profile from active loyalty marketing within 10 working days; once statutory audit periods expire (or immediately for pure loyalty data), the bank permanently deletes the off-chain identity record and its cryptographic salt, and notifies partner merchants within 15 days. This mitigation outweighs crypto-shredding because no encrypted personal data ever sits on the chain where future decryption advances could expose it, though the bank gives up self-contained on-chain profile verification; this choice would only flip to crypto-shredding if multiple banks needed to verify encrypted customer tier data directly on-chain without calling the bank's private server. </w:t>
            </w:r>
          </w:p>
          <w:p w14:paraId="560B0721" w14:textId="77777777" w:rsidR="00CF77BE" w:rsidRPr="00CF77BE" w:rsidRDefault="00CF77BE" w:rsidP="00CF77BE">
            <w:r w:rsidRPr="00CF77BE">
              <w:rPr>
                <w:b/>
                <w:bCs/>
              </w:rPr>
              <w:t>Access Control to Stop Re-Linking to a Person:</w:t>
            </w:r>
          </w:p>
          <w:p w14:paraId="001D58B4" w14:textId="77777777" w:rsidR="00CF77BE" w:rsidRPr="00CF77BE" w:rsidRDefault="00CF77BE" w:rsidP="00CF77BE">
            <w:r w:rsidRPr="00CF77BE">
              <w:t xml:space="preserve">To ensure that an on-chain hash cannot be re-linked to a natural person, access is controlled at two levels. First, at the blockchain level, the ledger is permissioned so only </w:t>
            </w:r>
            <w:r w:rsidRPr="00CF77BE">
              <w:lastRenderedPageBreak/>
              <w:t xml:space="preserve">the retail bank and vetted Bahraini partner merchants can run nodes or view on-chain point redemptions, blocking public inspection. Second, at the off-chain database level, the lookup table and cryptographic salts that link a customer's real identity to their on-chain hash are locked inside the bank's Hardware Security Module (HSM) under strict role-based access control (RBAC) and audit logging, so merchant nodes can verify that a hash holds enough points without ever accessing the customer's identity table. </w:t>
            </w:r>
          </w:p>
          <w:p w14:paraId="00E0B175" w14:textId="77777777" w:rsidR="00CF77BE" w:rsidRPr="00CF77BE" w:rsidRDefault="00CF77BE" w:rsidP="00CF77BE">
            <w:r w:rsidRPr="00CF77BE">
              <w:rPr>
                <w:b/>
                <w:bCs/>
              </w:rPr>
              <w:t xml:space="preserve">Honest Residual Risk and Data </w:t>
            </w:r>
            <w:proofErr w:type="spellStart"/>
            <w:r w:rsidRPr="00CF77BE">
              <w:rPr>
                <w:b/>
                <w:bCs/>
              </w:rPr>
              <w:t>Minimisation</w:t>
            </w:r>
            <w:proofErr w:type="spellEnd"/>
            <w:r w:rsidRPr="00CF77BE">
              <w:rPr>
                <w:b/>
                <w:bCs/>
              </w:rPr>
              <w:t>:</w:t>
            </w:r>
          </w:p>
          <w:p w14:paraId="360D420D" w14:textId="7D4955BA" w:rsidR="00A20542" w:rsidRDefault="00CF77BE" w:rsidP="00CF77BE">
            <w:r w:rsidRPr="00CF77BE">
              <w:t xml:space="preserve">Even after the bank deletes the off-chain customer record and destroys the cryptographic salt, this design still does not erase the on-chain hash or the permanent transaction pattern—specifically the timestamps, point values, and merchant redemption frequency—which remain visible forever on the ledger (Structured Extract, page 1; Finck, 2019, section 3). Because a participating merchant or bank insider could correlate those on-chain timestamps and point amounts with off-chain store till receipts to re-identify the customer, the bank must also </w:t>
            </w:r>
            <w:proofErr w:type="spellStart"/>
            <w:r w:rsidRPr="00CF77BE">
              <w:t>practise</w:t>
            </w:r>
            <w:proofErr w:type="spellEnd"/>
            <w:r w:rsidRPr="00CF77BE">
              <w:t xml:space="preserve"> strict data </w:t>
            </w:r>
            <w:proofErr w:type="spellStart"/>
            <w:r w:rsidRPr="00CF77BE">
              <w:t>minimisation</w:t>
            </w:r>
            <w:proofErr w:type="spellEnd"/>
            <w:r w:rsidRPr="00CF77BE">
              <w:t xml:space="preserve"> from the start by omitting merchant location codes from on-chain logs and rotating salted hashes periodically.</w:t>
            </w:r>
          </w:p>
        </w:tc>
      </w:tr>
    </w:tbl>
    <w:p w14:paraId="340E7643" w14:textId="77777777" w:rsidR="00A20542" w:rsidRDefault="00000000">
      <w:pPr>
        <w:spacing w:before="200" w:after="80"/>
      </w:pPr>
      <w:r>
        <w:rPr>
          <w:b/>
          <w:color w:val="1F4E79"/>
          <w:sz w:val="26"/>
        </w:rPr>
        <w:lastRenderedPageBreak/>
        <w:t>Task 4 - Sources</w:t>
      </w:r>
    </w:p>
    <w:tbl>
      <w:tblPr>
        <w:tblW w:w="0" w:type="auto"/>
        <w:tblLook w:val="04A0" w:firstRow="1" w:lastRow="0" w:firstColumn="1" w:lastColumn="0" w:noHBand="0" w:noVBand="1"/>
      </w:tblPr>
      <w:tblGrid>
        <w:gridCol w:w="2245"/>
        <w:gridCol w:w="7105"/>
      </w:tblGrid>
      <w:tr w:rsidR="00A20542" w14:paraId="26D0D750" w14:textId="77777777" w:rsidTr="00CF77BE">
        <w:tc>
          <w:tcPr>
            <w:tcW w:w="2245" w:type="dxa"/>
            <w:tcBorders>
              <w:top w:val="single" w:sz="4" w:space="0" w:color="BFBFBF"/>
              <w:left w:val="single" w:sz="4" w:space="0" w:color="BFBFBF"/>
              <w:bottom w:val="single" w:sz="4" w:space="0" w:color="BFBFBF"/>
              <w:right w:val="single" w:sz="4" w:space="0" w:color="BFBFBF"/>
            </w:tcBorders>
          </w:tcPr>
          <w:p w14:paraId="29DBAEC6" w14:textId="77777777" w:rsidR="00A20542" w:rsidRDefault="00000000">
            <w:r>
              <w:rPr>
                <w:b/>
                <w:sz w:val="20"/>
              </w:rPr>
              <w:t>Sources I used (if any)</w:t>
            </w:r>
          </w:p>
        </w:tc>
        <w:tc>
          <w:tcPr>
            <w:tcW w:w="7105" w:type="dxa"/>
            <w:tcBorders>
              <w:top w:val="single" w:sz="4" w:space="0" w:color="BFBFBF"/>
              <w:left w:val="single" w:sz="4" w:space="0" w:color="BFBFBF"/>
              <w:bottom w:val="single" w:sz="4" w:space="0" w:color="BFBFBF"/>
              <w:right w:val="single" w:sz="4" w:space="0" w:color="BFBFBF"/>
            </w:tcBorders>
          </w:tcPr>
          <w:p w14:paraId="28114CF5" w14:textId="04C793B2" w:rsidR="00CF77BE" w:rsidRPr="00CF77BE" w:rsidRDefault="00CF77BE" w:rsidP="00CF77BE">
            <w:pPr>
              <w:numPr>
                <w:ilvl w:val="0"/>
                <w:numId w:val="2"/>
              </w:numPr>
            </w:pPr>
            <w:r w:rsidRPr="00CF77BE">
              <w:t xml:space="preserve">Bahrain Polytechnic. (2026). </w:t>
            </w:r>
            <w:r w:rsidRPr="00CF77BE">
              <w:rPr>
                <w:i/>
                <w:iCs/>
              </w:rPr>
              <w:t>IT8204 Week 6 Session 1: Structured Extract, Visual Reading, and Opener Slides</w:t>
            </w:r>
            <w:r w:rsidRPr="00CF77BE">
              <w:t>.</w:t>
            </w:r>
          </w:p>
          <w:p w14:paraId="3AC20D39" w14:textId="77777777" w:rsidR="00CF77BE" w:rsidRPr="00CF77BE" w:rsidRDefault="00CF77BE" w:rsidP="00CF77BE">
            <w:pPr>
              <w:numPr>
                <w:ilvl w:val="0"/>
                <w:numId w:val="2"/>
              </w:numPr>
            </w:pPr>
            <w:r w:rsidRPr="00CF77BE">
              <w:t xml:space="preserve">Central Bank of Bahrain. (2022). </w:t>
            </w:r>
            <w:r w:rsidRPr="00CF77BE">
              <w:rPr>
                <w:i/>
                <w:iCs/>
              </w:rPr>
              <w:t>CBB Rulebook, Volume 6: Capital Markets, Module CRA (Crypto-asset)</w:t>
            </w:r>
            <w:r w:rsidRPr="00CF77BE">
              <w:t>, Chapters CRA-7 (AML/CFT) and CRA-8 (Custody Record-Keeping). Manama: Central Bank of Bahrain.</w:t>
            </w:r>
          </w:p>
          <w:p w14:paraId="418222B7" w14:textId="77777777" w:rsidR="00CF77BE" w:rsidRPr="00CF77BE" w:rsidRDefault="00CF77BE" w:rsidP="00CF77BE">
            <w:pPr>
              <w:numPr>
                <w:ilvl w:val="0"/>
                <w:numId w:val="2"/>
              </w:numPr>
            </w:pPr>
            <w:r w:rsidRPr="00CF77BE">
              <w:t xml:space="preserve">Finck, M. (2019). </w:t>
            </w:r>
            <w:r w:rsidRPr="00CF77BE">
              <w:rPr>
                <w:i/>
                <w:iCs/>
              </w:rPr>
              <w:t>Blockchain and the General Data Protection Regulation: Can distributed ledgers be squared with European data protection law?</w:t>
            </w:r>
            <w:r w:rsidRPr="00CF77BE">
              <w:t xml:space="preserve"> Panel for the Future of Science and Technology (STOA), European Parliament (PE 634.445), Sections 3–4. </w:t>
            </w:r>
          </w:p>
          <w:p w14:paraId="6BCCB1E0" w14:textId="45B1BD07" w:rsidR="00A20542" w:rsidRDefault="00CF77BE" w:rsidP="00CF77BE">
            <w:pPr>
              <w:numPr>
                <w:ilvl w:val="0"/>
                <w:numId w:val="2"/>
              </w:numPr>
            </w:pPr>
            <w:r w:rsidRPr="00CF77BE">
              <w:t xml:space="preserve">Kingdom of Bahrain. (2018). </w:t>
            </w:r>
            <w:r w:rsidRPr="00CF77BE">
              <w:rPr>
                <w:i/>
                <w:iCs/>
              </w:rPr>
              <w:t>Law No. 30 of 2018 with respect to Personal Data Protection Law (PDPL)</w:t>
            </w:r>
            <w:r w:rsidRPr="00CF77BE">
              <w:t xml:space="preserve">, Articles 12, 22, 23, and 24. Manama: Personal Data Protection Authority. </w:t>
            </w:r>
          </w:p>
        </w:tc>
      </w:tr>
    </w:tbl>
    <w:p w14:paraId="34E0D222" w14:textId="77777777" w:rsidR="00A20542" w:rsidRDefault="00000000">
      <w:pPr>
        <w:spacing w:before="200" w:after="80"/>
      </w:pPr>
      <w:r>
        <w:rPr>
          <w:b/>
          <w:color w:val="1F4E79"/>
          <w:sz w:val="26"/>
        </w:rPr>
        <w:lastRenderedPageBreak/>
        <w:t>Before you submit</w:t>
      </w:r>
    </w:p>
    <w:p w14:paraId="2FEA336D" w14:textId="77777777" w:rsidR="00A20542" w:rsidRDefault="00000000">
      <w:pPr>
        <w:spacing w:after="40"/>
        <w:ind w:left="432" w:hanging="216"/>
      </w:pPr>
      <w:r>
        <w:rPr>
          <w:sz w:val="22"/>
        </w:rPr>
        <w:t>•  Your name and student ID are filled in.</w:t>
      </w:r>
    </w:p>
    <w:p w14:paraId="46C3A49B" w14:textId="77777777" w:rsidR="00A20542" w:rsidRDefault="00000000">
      <w:pPr>
        <w:spacing w:after="40"/>
        <w:ind w:left="432" w:hanging="216"/>
      </w:pPr>
      <w:r>
        <w:rPr>
          <w:sz w:val="22"/>
        </w:rPr>
        <w:t>•  All tasks are attempted.</w:t>
      </w:r>
    </w:p>
    <w:p w14:paraId="5A8E9723" w14:textId="77777777" w:rsidR="00A20542" w:rsidRDefault="00000000">
      <w:pPr>
        <w:spacing w:after="40"/>
        <w:ind w:left="432" w:hanging="216"/>
      </w:pPr>
      <w:r>
        <w:rPr>
          <w:sz w:val="22"/>
        </w:rPr>
        <w:t>•  Submit this sheet before you leave today, to the Week 6 weekly worksheets link on Moodle. That same link takes both of the Week 6 weekly worksheets, one per session.</w:t>
      </w:r>
    </w:p>
    <w:p w14:paraId="2B4908D6" w14:textId="77777777" w:rsidR="00A20542" w:rsidRDefault="00000000">
      <w:pPr>
        <w:spacing w:after="40"/>
        <w:ind w:left="432" w:hanging="216"/>
      </w:pPr>
      <w:r>
        <w:rPr>
          <w:sz w:val="22"/>
        </w:rPr>
        <w:t>•  If you need more time, finish it at home and submit to the same link by Friday 23 October 2026, 23:59. That is the deadline for both Week 6 sheets.</w:t>
      </w:r>
    </w:p>
    <w:p w14:paraId="2BE4BB88" w14:textId="77777777" w:rsidR="00A20542" w:rsidRDefault="00000000">
      <w:pPr>
        <w:spacing w:after="40"/>
        <w:ind w:left="432" w:hanging="216"/>
      </w:pPr>
      <w:r>
        <w:rPr>
          <w:sz w:val="22"/>
        </w:rPr>
        <w:t>•  Both weekly worksheets are marked together in one Week 6 marking sheet worth 2.50 percent of the course.</w:t>
      </w:r>
    </w:p>
    <w:p w14:paraId="00FB1652" w14:textId="77777777" w:rsidR="00A20542" w:rsidRDefault="00000000">
      <w:pPr>
        <w:spacing w:after="40"/>
        <w:ind w:left="432" w:hanging="216"/>
      </w:pPr>
      <w:r>
        <w:rPr>
          <w:sz w:val="22"/>
        </w:rPr>
        <w:t>•  You may use your notes and the session readings. Every worksheet is your own work.</w:t>
      </w:r>
    </w:p>
    <w:sectPr w:rsidR="00A2054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55E4E" w14:textId="77777777" w:rsidR="00A95C37" w:rsidRDefault="00A95C37" w:rsidP="002F5FE7">
      <w:pPr>
        <w:spacing w:after="0" w:line="240" w:lineRule="auto"/>
      </w:pPr>
      <w:r>
        <w:separator/>
      </w:r>
    </w:p>
  </w:endnote>
  <w:endnote w:type="continuationSeparator" w:id="0">
    <w:p w14:paraId="6EEB27CB" w14:textId="77777777" w:rsidR="00A95C37" w:rsidRDefault="00A95C37"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43C4A197" w14:textId="77777777">
      <w:tc>
        <w:tcPr>
          <w:tcW w:w="2500" w:type="pct"/>
          <w:tcBorders>
            <w:top w:val="nil"/>
            <w:left w:val="nil"/>
            <w:bottom w:val="nil"/>
            <w:right w:val="nil"/>
          </w:tcBorders>
        </w:tcPr>
        <w:p w14:paraId="431A788D"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698F9143"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977E70F"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FB3611A" w14:textId="77777777">
      <w:tc>
        <w:tcPr>
          <w:tcW w:w="2500" w:type="pct"/>
          <w:tcBorders>
            <w:top w:val="nil"/>
            <w:left w:val="nil"/>
            <w:bottom w:val="nil"/>
            <w:right w:val="nil"/>
          </w:tcBorders>
        </w:tcPr>
        <w:p w14:paraId="5DA29DE7"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42909510"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5FA0F790"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A50C"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7F3A5" w14:textId="77777777" w:rsidR="00A95C37" w:rsidRDefault="00A95C37" w:rsidP="002F5FE7">
      <w:pPr>
        <w:spacing w:after="0" w:line="240" w:lineRule="auto"/>
      </w:pPr>
      <w:r>
        <w:separator/>
      </w:r>
    </w:p>
  </w:footnote>
  <w:footnote w:type="continuationSeparator" w:id="0">
    <w:p w14:paraId="7EA96B4F" w14:textId="77777777" w:rsidR="00A95C37" w:rsidRDefault="00A95C37"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CF16"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A9DB" w14:textId="77777777" w:rsidR="00A20542" w:rsidRDefault="00000000">
    <w:pPr>
      <w:jc w:val="center"/>
    </w:pPr>
    <w:r>
      <w:rPr>
        <w:b/>
        <w:color w:val="1F4E79"/>
        <w:sz w:val="20"/>
      </w:rPr>
      <w:t>IT8204 Week 6 Session 1 Worksheet v1.0</w:t>
    </w:r>
  </w:p>
  <w:p w14:paraId="500C2959"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7814" w14:textId="77777777" w:rsidR="002F5FE7" w:rsidRDefault="002F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A74"/>
    <w:multiLevelType w:val="multilevel"/>
    <w:tmpl w:val="90EC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FA7598"/>
    <w:multiLevelType w:val="hybridMultilevel"/>
    <w:tmpl w:val="4EDE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0742438">
    <w:abstractNumId w:val="1"/>
  </w:num>
  <w:num w:numId="2" w16cid:durableId="1473643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0B96"/>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67B57"/>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473B0"/>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13BA1"/>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7B8"/>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0BF1"/>
    <w:rsid w:val="009D3427"/>
    <w:rsid w:val="009D6E8B"/>
    <w:rsid w:val="009E7B62"/>
    <w:rsid w:val="009F2938"/>
    <w:rsid w:val="009F6365"/>
    <w:rsid w:val="009F79E9"/>
    <w:rsid w:val="009F7D43"/>
    <w:rsid w:val="00A0066F"/>
    <w:rsid w:val="00A0219B"/>
    <w:rsid w:val="00A04945"/>
    <w:rsid w:val="00A14A65"/>
    <w:rsid w:val="00A162B9"/>
    <w:rsid w:val="00A20542"/>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5C3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052B9"/>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7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4075"/>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2877"/>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1672</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7</cp:revision>
  <dcterms:created xsi:type="dcterms:W3CDTF">2026-05-16T22:44:00Z</dcterms:created>
  <dcterms:modified xsi:type="dcterms:W3CDTF">2026-10-23T11:26:00Z</dcterms:modified>
</cp:coreProperties>
</file>