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color w:val="1F4E79"/>
          <w:sz w:val="36"/>
        </w:rPr>
        <w:t>Structured Extract - Choosing a Chain: a Five-Criterion Decision Framework</w:t>
      </w:r>
    </w:p>
    <w:p>
      <w:r>
        <w:rPr>
          <w:b/>
          <w:color w:val="1F4E79"/>
          <w:sz w:val="24"/>
        </w:rPr>
        <w:t>Your second reading: the argument itself, with guidance</w:t>
      </w:r>
    </w:p>
    <w:p>
      <w:r>
        <w:rPr>
          <w:i/>
          <w:color w:val="808080"/>
          <w:sz w:val="18"/>
        </w:rPr>
        <w:t>Week 4, Session 2</w:t>
      </w:r>
    </w:p>
    <w:p>
      <w:pPr>
        <w:spacing w:before="200" w:after="80"/>
      </w:pPr>
      <w:r>
        <w:rPr>
          <w:b/>
          <w:color w:val="1F4E79"/>
          <w:sz w:val="26"/>
        </w:rPr>
        <w:t>Why you are reading this</w:t>
      </w:r>
    </w:p>
    <w:p>
      <w:r>
        <w:rPr>
          <w:b w:val="0"/>
          <w:i w:val="0"/>
          <w:sz w:val="22"/>
        </w:rPr>
        <w:t>This is a reusable decision tool: how to choose a chain on evidence, for any stated use case.</w:t>
      </w:r>
    </w:p>
    <w:p>
      <w:pPr>
        <w:spacing w:before="200" w:after="80"/>
      </w:pPr>
      <w:r>
        <w:rPr>
          <w:b/>
          <w:color w:val="1F4E79"/>
          <w:sz w:val="26"/>
        </w:rPr>
        <w:t>The source</w:t>
      </w:r>
    </w:p>
    <w:p>
      <w:r>
        <w:rPr>
          <w:b w:val="0"/>
          <w:i/>
          <w:sz w:val="20"/>
        </w:rPr>
        <w:t>Schar (2021), FRB St. Louis Review 103(2); the five-layer model and a worked comparison.</w:t>
      </w:r>
    </w:p>
    <w:p>
      <w:pPr>
        <w:spacing w:before="200" w:after="80"/>
      </w:pPr>
      <w:r>
        <w:rPr>
          <w:b/>
          <w:color w:val="1F4E79"/>
          <w:sz w:val="26"/>
        </w:rPr>
        <w:t>The core, in plain English</w:t>
      </w:r>
    </w:p>
    <w:p>
      <w:pPr>
        <w:spacing w:after="40"/>
        <w:ind w:left="432" w:hanging="216"/>
      </w:pPr>
      <w:r>
        <w:rPr>
          <w:sz w:val="22"/>
        </w:rPr>
        <w:t>•  Schar sets out five layers: the settlement layer, the asset layer, the protocol layer, the application layer and the aggregation layer. For a chain choice the decision usually turns on the first two, because they fix what you are building on and what you may issue.</w:t>
      </w:r>
    </w:p>
    <w:p>
      <w:pPr>
        <w:spacing w:after="40"/>
        <w:ind w:left="432" w:hanging="216"/>
      </w:pPr>
      <w:r>
        <w:rPr>
          <w:sz w:val="22"/>
        </w:rPr>
        <w:t>•  The five criteria (throughput, finality, governance, cost, regulatory profile) make chain choice comparable.</w:t>
      </w:r>
    </w:p>
    <w:p>
      <w:pPr>
        <w:spacing w:after="40"/>
        <w:ind w:left="432" w:hanging="216"/>
      </w:pPr>
      <w:r>
        <w:rPr>
          <w:sz w:val="22"/>
        </w:rPr>
        <w:t>•  The best chain is use-case dependent; the grid makes the reasoning explicit.</w:t>
      </w:r>
    </w:p>
    <w:p>
      <w:pPr>
        <w:spacing w:before="200" w:after="80"/>
      </w:pPr>
      <w:r>
        <w:rPr>
          <w:b/>
          <w:color w:val="1F4E79"/>
          <w:sz w:val="26"/>
        </w:rPr>
        <w:t>Key facts you can use</w:t>
      </w:r>
    </w:p>
    <w:p>
      <w:pPr>
        <w:spacing w:after="40"/>
        <w:ind w:left="432" w:hanging="216"/>
      </w:pPr>
      <w:r>
        <w:rPr>
          <w:sz w:val="22"/>
        </w:rPr>
        <w:t>•  Five criteria decide which chain to choose. Throughput is speed: how many transactions it can carry. Finality is the moment after which a transaction can no longer be reversed. Governance is who controls upgrades. Cost is the fees. Regulatory profile is how supervisors view the chain.</w:t>
      </w:r>
    </w:p>
    <w:p>
      <w:pPr>
        <w:spacing w:after="40"/>
        <w:ind w:left="432" w:hanging="216"/>
      </w:pPr>
      <w:r>
        <w:rPr>
          <w:sz w:val="22"/>
        </w:rPr>
        <w:t>•  Here is the rough picture, chain by chain. Ethereum layer 1 (L1) is highly trusted, carries fewer transactions, and costs more. layer 2 (L2) rollups are cheaper and faster, and they settle back to Ethereum. Hyperledger Fabric is permissioned, fast and private. Solana is very fast and cheaper, but control of it is more concentrated. Corda was built for regulated finance.</w:t>
      </w:r>
    </w:p>
    <w:p>
      <w:pPr>
        <w:spacing w:after="40"/>
        <w:ind w:left="432" w:hanging="216"/>
      </w:pPr>
      <w:r>
        <w:rPr>
          <w:sz w:val="22"/>
        </w:rPr>
        <w:t>•  For a bank use case, regulatory profile is often the deciding criterion.</w:t>
      </w:r>
    </w:p>
    <w:p>
      <w:pPr>
        <w:spacing w:before="200" w:after="80"/>
      </w:pPr>
      <w:r>
        <w:rPr>
          <w:b/>
          <w:color w:val="1F4E79"/>
          <w:sz w:val="26"/>
        </w:rPr>
        <w:t>Worked example</w:t>
      </w:r>
    </w:p>
    <w:p>
      <w:r>
        <w:rPr>
          <w:b w:val="0"/>
          <w:i w:val="0"/>
          <w:sz w:val="22"/>
        </w:rPr>
        <w:t>Match a use case to a chain. Take a Bahraini small and medium-sized enterprise (SME) trade-finance escrow between banks that already know each other. Choose Hyperledger Fabric. The parties are known to one another, so a permissioned chain fits. It is fast and private. And it suits a regulated setting. A public chain would score worse on governance and on regulatory profile, even if it cost less.</w:t>
      </w:r>
    </w:p>
    <w:p>
      <w:pPr>
        <w:spacing w:before="200" w:after="80"/>
      </w:pPr>
      <w:r>
        <w:rPr>
          <w:b/>
          <w:color w:val="1F4E79"/>
          <w:sz w:val="26"/>
        </w:rPr>
        <w:t>Words to know</w:t>
      </w:r>
    </w:p>
    <w:tbl>
      <w:tblPr>
        <w:tblW w:type="auto" w:w="0"/>
        <w:tblLayout w:type="autofit"/>
        <w:tblLook w:firstColumn="1" w:firstRow="1" w:lastColumn="0" w:lastRow="0" w:noHBand="0" w:noVBand="1" w:val="04A0"/>
      </w:tblPr>
      <w:tblGrid>
        <w:gridCol w:w="4680"/>
        <w:gridCol w:w="4680"/>
      </w:tblGrid>
      <w:tr>
        <w:tc>
          <w:tcPr>
            <w:tcW w:type="dxa" w:w="2880"/>
            <w:tcBorders>
              <w:top w:val="single" w:sz="4" w:color="BFBFBF"/>
              <w:left w:val="single" w:sz="4" w:color="BFBFBF"/>
              <w:bottom w:val="single" w:sz="4" w:color="BFBFBF"/>
              <w:right w:val="single" w:sz="4" w:color="BFBFBF"/>
            </w:tcBorders>
            <w:shd w:val="clear" w:color="auto" w:fill="1F4E79"/>
          </w:tcPr>
          <w:p>
            <w:r/>
            <w:r>
              <w:rPr>
                <w:b/>
                <w:color w:val="FFFFFF"/>
                <w:sz w:val="20"/>
              </w:rPr>
              <w:t>Term</w:t>
            </w:r>
          </w:p>
        </w:tc>
        <w:tc>
          <w:tcPr>
            <w:tcW w:type="dxa" w:w="6624"/>
            <w:tcBorders>
              <w:top w:val="single" w:sz="4" w:color="BFBFBF"/>
              <w:left w:val="single" w:sz="4" w:color="BFBFBF"/>
              <w:bottom w:val="single" w:sz="4" w:color="BFBFBF"/>
              <w:right w:val="single" w:sz="4" w:color="BFBFBF"/>
            </w:tcBorders>
            <w:shd w:val="clear" w:color="auto" w:fill="1F4E79"/>
          </w:tcPr>
          <w:p>
            <w:r/>
            <w:r>
              <w:rPr>
                <w:b/>
                <w:color w:val="FFFFFF"/>
                <w:sz w:val="20"/>
              </w:rPr>
              <w:t>Plain meaning</w:t>
            </w:r>
          </w:p>
        </w:tc>
      </w:tr>
      <w:tr>
        <w:tc>
          <w:tcPr>
            <w:tcW w:type="dxa" w:w="2880"/>
            <w:tcBorders>
              <w:top w:val="single" w:sz="4" w:color="BFBFBF"/>
              <w:left w:val="single" w:sz="4" w:color="BFBFBF"/>
              <w:bottom w:val="single" w:sz="4" w:color="BFBFBF"/>
              <w:right w:val="single" w:sz="4" w:color="BFBFBF"/>
            </w:tcBorders>
          </w:tcPr>
          <w:p>
            <w:r/>
            <w:r>
              <w:rPr>
                <w:sz w:val="20"/>
              </w:rPr>
              <w:t>Transaction</w:t>
            </w:r>
          </w:p>
        </w:tc>
        <w:tc>
          <w:tcPr>
            <w:tcW w:type="dxa" w:w="6624"/>
            <w:tcBorders>
              <w:top w:val="single" w:sz="4" w:color="BFBFBF"/>
              <w:left w:val="single" w:sz="4" w:color="BFBFBF"/>
              <w:bottom w:val="single" w:sz="4" w:color="BFBFBF"/>
              <w:right w:val="single" w:sz="4" w:color="BFBFBF"/>
            </w:tcBorders>
          </w:tcPr>
          <w:p>
            <w:r/>
            <w:r>
              <w:rPr>
                <w:sz w:val="20"/>
              </w:rPr>
              <w:t>One instruction to move value from one holder to another, and the record of that move.</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Blockchain</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A shared record book that many computers keep a copy of at the same time. New entries are added in batches called blocks. Each batch is locked to the one before it. No single owner can quietly change an entry that is already in.</w:t>
            </w:r>
          </w:p>
        </w:tc>
      </w:tr>
      <w:tr>
        <w:tc>
          <w:tcPr>
            <w:tcW w:type="dxa" w:w="2880"/>
            <w:tcBorders>
              <w:top w:val="single" w:sz="4" w:color="BFBFBF"/>
              <w:left w:val="single" w:sz="4" w:color="BFBFBF"/>
              <w:bottom w:val="single" w:sz="4" w:color="BFBFBF"/>
              <w:right w:val="single" w:sz="4" w:color="BFBFBF"/>
            </w:tcBorders>
          </w:tcPr>
          <w:p>
            <w:r/>
            <w:r>
              <w:rPr>
                <w:sz w:val="20"/>
              </w:rPr>
              <w:t>Settlement</w:t>
            </w:r>
          </w:p>
        </w:tc>
        <w:tc>
          <w:tcPr>
            <w:tcW w:type="dxa" w:w="6624"/>
            <w:tcBorders>
              <w:top w:val="single" w:sz="4" w:color="BFBFBF"/>
              <w:left w:val="single" w:sz="4" w:color="BFBFBF"/>
              <w:bottom w:val="single" w:sz="4" w:color="BFBFBF"/>
              <w:right w:val="single" w:sz="4" w:color="BFBFBF"/>
            </w:tcBorders>
          </w:tcPr>
          <w:p>
            <w:r/>
            <w:r>
              <w:rPr>
                <w:sz w:val="20"/>
              </w:rPr>
              <w:t>The moment a transfer is final: the value has actually changed hands and cannot be pulled back.</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Remittance</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Money sent home by someone working abroad to their family in another country.</w:t>
            </w:r>
          </w:p>
        </w:tc>
      </w:tr>
      <w:tr>
        <w:tc>
          <w:tcPr>
            <w:tcW w:type="dxa" w:w="2880"/>
            <w:tcBorders>
              <w:top w:val="single" w:sz="4" w:color="BFBFBF"/>
              <w:left w:val="single" w:sz="4" w:color="BFBFBF"/>
              <w:bottom w:val="single" w:sz="4" w:color="BFBFBF"/>
              <w:right w:val="single" w:sz="4" w:color="BFBFBF"/>
            </w:tcBorders>
          </w:tcPr>
          <w:p>
            <w:r/>
            <w:r>
              <w:rPr>
                <w:sz w:val="20"/>
              </w:rPr>
              <w:t>Use case</w:t>
            </w:r>
          </w:p>
        </w:tc>
        <w:tc>
          <w:tcPr>
            <w:tcW w:type="dxa" w:w="6624"/>
            <w:tcBorders>
              <w:top w:val="single" w:sz="4" w:color="BFBFBF"/>
              <w:left w:val="single" w:sz="4" w:color="BFBFBF"/>
              <w:bottom w:val="single" w:sz="4" w:color="BFBFBF"/>
              <w:right w:val="single" w:sz="4" w:color="BFBFBF"/>
            </w:tcBorders>
          </w:tcPr>
          <w:p>
            <w:r/>
            <w:r>
              <w:rPr>
                <w:sz w:val="20"/>
              </w:rPr>
              <w:t>One specific, real job a technology is being proposed for, such as sending a remittance or issuing a sukuk.</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Governance</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Who is allowed to decide the rules, change them, and settle disputes.</w:t>
            </w:r>
          </w:p>
        </w:tc>
      </w:tr>
      <w:tr>
        <w:tc>
          <w:tcPr>
            <w:tcW w:type="dxa" w:w="2880"/>
            <w:tcBorders>
              <w:top w:val="single" w:sz="4" w:color="BFBFBF"/>
              <w:left w:val="single" w:sz="4" w:color="BFBFBF"/>
              <w:bottom w:val="single" w:sz="4" w:color="BFBFBF"/>
              <w:right w:val="single" w:sz="4" w:color="BFBFBF"/>
            </w:tcBorders>
          </w:tcPr>
          <w:p>
            <w:r/>
            <w:r>
              <w:rPr>
                <w:sz w:val="20"/>
              </w:rPr>
              <w:t>Permissioned</w:t>
            </w:r>
          </w:p>
        </w:tc>
        <w:tc>
          <w:tcPr>
            <w:tcW w:type="dxa" w:w="6624"/>
            <w:tcBorders>
              <w:top w:val="single" w:sz="4" w:color="BFBFBF"/>
              <w:left w:val="single" w:sz="4" w:color="BFBFBF"/>
              <w:bottom w:val="single" w:sz="4" w:color="BFBFBF"/>
              <w:right w:val="single" w:sz="4" w:color="BFBFBF"/>
            </w:tcBorders>
          </w:tcPr>
          <w:p>
            <w:r/>
            <w:r>
              <w:rPr>
                <w:sz w:val="20"/>
              </w:rPr>
              <w:t>A shared record book that only approved, named participants may join and help run.</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Throughput</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How many transactions a network can handle in a given time.</w:t>
            </w:r>
          </w:p>
        </w:tc>
      </w:tr>
      <w:tr>
        <w:tc>
          <w:tcPr>
            <w:tcW w:type="dxa" w:w="2880"/>
            <w:tcBorders>
              <w:top w:val="single" w:sz="4" w:color="BFBFBF"/>
              <w:left w:val="single" w:sz="4" w:color="BFBFBF"/>
              <w:bottom w:val="single" w:sz="4" w:color="BFBFBF"/>
              <w:right w:val="single" w:sz="4" w:color="BFBFBF"/>
            </w:tcBorders>
          </w:tcPr>
          <w:p>
            <w:r/>
            <w:r>
              <w:rPr>
                <w:sz w:val="20"/>
              </w:rPr>
              <w:t>Supervision</w:t>
            </w:r>
          </w:p>
        </w:tc>
        <w:tc>
          <w:tcPr>
            <w:tcW w:type="dxa" w:w="6624"/>
            <w:tcBorders>
              <w:top w:val="single" w:sz="4" w:color="BFBFBF"/>
              <w:left w:val="single" w:sz="4" w:color="BFBFBF"/>
              <w:bottom w:val="single" w:sz="4" w:color="BFBFBF"/>
              <w:right w:val="single" w:sz="4" w:color="BFBFBF"/>
            </w:tcBorders>
          </w:tcPr>
          <w:p>
            <w:r/>
            <w:r>
              <w:rPr>
                <w:sz w:val="20"/>
              </w:rPr>
              <w:t>The regulator's ongoing oversight of a licensed firm. It checks that the firm keeps following the rules after approval, not only on the day it applied.</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Escrow</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Money or an asset held by a neutral party and released only when the agreed conditions have been met.</w:t>
            </w:r>
          </w:p>
        </w:tc>
      </w:tr>
      <w:tr>
        <w:tc>
          <w:tcPr>
            <w:tcW w:type="dxa" w:w="2880"/>
            <w:tcBorders>
              <w:top w:val="single" w:sz="4" w:color="BFBFBF"/>
              <w:left w:val="single" w:sz="4" w:color="BFBFBF"/>
              <w:bottom w:val="single" w:sz="4" w:color="BFBFBF"/>
              <w:right w:val="single" w:sz="4" w:color="BFBFBF"/>
            </w:tcBorders>
          </w:tcPr>
          <w:p>
            <w:r/>
            <w:r>
              <w:rPr>
                <w:sz w:val="20"/>
              </w:rPr>
              <w:t>Protocol</w:t>
            </w:r>
          </w:p>
        </w:tc>
        <w:tc>
          <w:tcPr>
            <w:tcW w:type="dxa" w:w="6624"/>
            <w:tcBorders>
              <w:top w:val="single" w:sz="4" w:color="BFBFBF"/>
              <w:left w:val="single" w:sz="4" w:color="BFBFBF"/>
              <w:bottom w:val="single" w:sz="4" w:color="BFBFBF"/>
              <w:right w:val="single" w:sz="4" w:color="BFBFBF"/>
            </w:tcBorders>
          </w:tcPr>
          <w:p>
            <w:r/>
            <w:r>
              <w:rPr>
                <w:sz w:val="20"/>
              </w:rPr>
              <w:t>The agreed set of rules computers follow so they can work together. On a blockchain it decides how blocks are made, checked and accepted.</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Decentralisation</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Spreading control across many independent participants, so that no single one can decide alone or shut the system down.</w:t>
            </w:r>
          </w:p>
        </w:tc>
      </w:tr>
      <w:tr>
        <w:tc>
          <w:tcPr>
            <w:tcW w:type="dxa" w:w="2880"/>
            <w:tcBorders>
              <w:top w:val="single" w:sz="4" w:color="BFBFBF"/>
              <w:left w:val="single" w:sz="4" w:color="BFBFBF"/>
              <w:bottom w:val="single" w:sz="4" w:color="BFBFBF"/>
              <w:right w:val="single" w:sz="4" w:color="BFBFBF"/>
            </w:tcBorders>
          </w:tcPr>
          <w:p>
            <w:r/>
            <w:r>
              <w:rPr>
                <w:sz w:val="20"/>
              </w:rPr>
              <w:t>Finality</w:t>
            </w:r>
          </w:p>
        </w:tc>
        <w:tc>
          <w:tcPr>
            <w:tcW w:type="dxa" w:w="6624"/>
            <w:tcBorders>
              <w:top w:val="single" w:sz="4" w:color="BFBFBF"/>
              <w:left w:val="single" w:sz="4" w:color="BFBFBF"/>
              <w:bottom w:val="single" w:sz="4" w:color="BFBFBF"/>
              <w:right w:val="single" w:sz="4" w:color="BFBFBF"/>
            </w:tcBorders>
          </w:tcPr>
          <w:p>
            <w:r/>
            <w:r>
              <w:rPr>
                <w:sz w:val="20"/>
              </w:rPr>
              <w:t>when settlement becomes irreversible</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L2 rollup</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a second layer built on top of Ethereum that bundles many transactions together to make them cheaper and faster</w:t>
            </w:r>
          </w:p>
        </w:tc>
      </w:tr>
      <w:tr>
        <w:tc>
          <w:tcPr>
            <w:tcW w:type="dxa" w:w="2880"/>
            <w:tcBorders>
              <w:top w:val="single" w:sz="4" w:color="BFBFBF"/>
              <w:left w:val="single" w:sz="4" w:color="BFBFBF"/>
              <w:bottom w:val="single" w:sz="4" w:color="BFBFBF"/>
              <w:right w:val="single" w:sz="4" w:color="BFBFBF"/>
            </w:tcBorders>
          </w:tcPr>
          <w:p>
            <w:r/>
            <w:r>
              <w:rPr>
                <w:sz w:val="20"/>
              </w:rPr>
              <w:t>Settlement layer</w:t>
            </w:r>
          </w:p>
        </w:tc>
        <w:tc>
          <w:tcPr>
            <w:tcW w:type="dxa" w:w="6624"/>
            <w:tcBorders>
              <w:top w:val="single" w:sz="4" w:color="BFBFBF"/>
              <w:left w:val="single" w:sz="4" w:color="BFBFBF"/>
              <w:bottom w:val="single" w:sz="4" w:color="BFBFBF"/>
              <w:right w:val="single" w:sz="4" w:color="BFBFBF"/>
            </w:tcBorders>
          </w:tcPr>
          <w:p>
            <w:r/>
            <w:r>
              <w:rPr>
                <w:sz w:val="20"/>
              </w:rPr>
              <w:t>the base chain</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Bahraini dinar (BHD)</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Bahrain's currency</w:t>
            </w:r>
          </w:p>
        </w:tc>
      </w:tr>
      <w:tr>
        <w:tc>
          <w:tcPr>
            <w:tcW w:type="dxa" w:w="2880"/>
            <w:tcBorders>
              <w:top w:val="single" w:sz="4" w:color="BFBFBF"/>
              <w:left w:val="single" w:sz="4" w:color="BFBFBF"/>
              <w:bottom w:val="single" w:sz="4" w:color="BFBFBF"/>
              <w:right w:val="single" w:sz="4" w:color="BFBFBF"/>
            </w:tcBorders>
          </w:tcPr>
          <w:p>
            <w:r/>
            <w:r>
              <w:rPr>
                <w:sz w:val="20"/>
              </w:rPr>
              <w:t>layer 1 (L1)</w:t>
            </w:r>
          </w:p>
        </w:tc>
        <w:tc>
          <w:tcPr>
            <w:tcW w:type="dxa" w:w="6624"/>
            <w:tcBorders>
              <w:top w:val="single" w:sz="4" w:color="BFBFBF"/>
              <w:left w:val="single" w:sz="4" w:color="BFBFBF"/>
              <w:bottom w:val="single" w:sz="4" w:color="BFBFBF"/>
              <w:right w:val="single" w:sz="4" w:color="BFBFBF"/>
            </w:tcBorders>
          </w:tcPr>
          <w:p>
            <w:r/>
            <w:r>
              <w:rPr>
                <w:sz w:val="20"/>
              </w:rPr>
              <w:t>the base blockchain itself</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layer 2 (L2)</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a faster, cheaper network that settles back onto the base blockchain</w:t>
            </w:r>
          </w:p>
        </w:tc>
      </w:tr>
      <w:tr>
        <w:tc>
          <w:tcPr>
            <w:tcW w:type="dxa" w:w="2880"/>
            <w:tcBorders>
              <w:top w:val="single" w:sz="4" w:color="BFBFBF"/>
              <w:left w:val="single" w:sz="4" w:color="BFBFBF"/>
              <w:bottom w:val="single" w:sz="4" w:color="BFBFBF"/>
              <w:right w:val="single" w:sz="4" w:color="BFBFBF"/>
            </w:tcBorders>
          </w:tcPr>
          <w:p>
            <w:r/>
            <w:r>
              <w:rPr>
                <w:sz w:val="20"/>
              </w:rPr>
              <w:t>Pakistani rupee (PKR)</w:t>
            </w:r>
          </w:p>
        </w:tc>
        <w:tc>
          <w:tcPr>
            <w:tcW w:type="dxa" w:w="6624"/>
            <w:tcBorders>
              <w:top w:val="single" w:sz="4" w:color="BFBFBF"/>
              <w:left w:val="single" w:sz="4" w:color="BFBFBF"/>
              <w:bottom w:val="single" w:sz="4" w:color="BFBFBF"/>
              <w:right w:val="single" w:sz="4" w:color="BFBFBF"/>
            </w:tcBorders>
          </w:tcPr>
          <w:p>
            <w:r/>
            <w:r>
              <w:rPr>
                <w:sz w:val="20"/>
              </w:rPr>
              <w:t>the currency of Pakistan</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small and medium-sized enterprise (SME)</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a business too small to have its own treasury or legal team</w:t>
            </w:r>
          </w:p>
        </w:tc>
      </w:tr>
    </w:tbl>
    <w:p>
      <w:pPr>
        <w:spacing w:before="200" w:after="80"/>
      </w:pPr>
      <w:r>
        <w:rPr>
          <w:b/>
          <w:color w:val="1F4E79"/>
          <w:sz w:val="26"/>
        </w:rPr>
        <w:t>Guiding questions (answer these in your worksheet)</w:t>
      </w:r>
    </w:p>
    <w:p>
      <w:pPr>
        <w:spacing w:after="40"/>
        <w:ind w:left="432" w:hanging="216"/>
      </w:pPr>
      <w:r>
        <w:rPr>
          <w:sz w:val="22"/>
        </w:rPr>
        <w:t>•  Which criterion most often decides a chain choice in a regulated market?</w:t>
      </w:r>
    </w:p>
    <w:p>
      <w:pPr>
        <w:spacing w:after="40"/>
        <w:ind w:left="432" w:hanging="216"/>
      </w:pPr>
      <w:r>
        <w:rPr>
          <w:sz w:val="22"/>
        </w:rPr>
        <w:t>•  Which of Schar's five layers does a compliance question usually attach to, and why?</w:t>
      </w:r>
    </w:p>
    <w:p>
      <w:pPr>
        <w:spacing w:after="40"/>
        <w:ind w:left="432" w:hanging="216"/>
      </w:pPr>
      <w:r>
        <w:rPr>
          <w:sz w:val="22"/>
        </w:rPr>
        <w:t>•  For a Bahraini dinar (BHD)-Pakistani rupee (PKR) remittance, which chain would you shortlist and why?</w:t>
      </w:r>
    </w:p>
    <w:p>
      <w:pPr>
        <w:spacing w:before="200" w:after="80"/>
      </w:pPr>
      <w:r>
        <w:rPr>
          <w:b/>
          <w:color w:val="1F4E79"/>
          <w:sz w:val="26"/>
        </w:rPr>
        <w:t>What to extract</w:t>
      </w:r>
    </w:p>
    <w:p>
      <w:r>
        <w:rPr>
          <w:b w:val="0"/>
          <w:i w:val="0"/>
          <w:sz w:val="22"/>
        </w:rPr>
        <w:t>Your one-line procurement rule for choosing a chain.</w:t>
      </w:r>
    </w:p>
    <w:p>
      <w:r>
        <w:rPr>
          <w:b w:val="0"/>
          <w:i/>
          <w:sz w:val="18"/>
        </w:rPr>
        <w:t>Sources: Schar, F. (2021). Decentralized finance. Federal Reserve Bank of St. Louis Review, 103(2), 153-174.; Drescher, D. (2026). Blockchain basics (2nd ed.), Steps 27-28. Apress / Springer Nature.</w:t>
      </w:r>
    </w:p>
    <w:sectPr w:rsidR="00177B4F" w:rsidRPr="00177B4F">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BBF6C" w14:textId="77777777" w:rsidR="00056D21" w:rsidRDefault="00056D21" w:rsidP="002F5FE7">
      <w:pPr>
        <w:spacing w:after="0" w:line="240" w:lineRule="auto"/>
      </w:pPr>
      <w:r>
        <w:separator/>
      </w:r>
    </w:p>
  </w:endnote>
  <w:endnote w:type="continuationSeparator" w:id="0">
    <w:p w14:paraId="57BF3AAD" w14:textId="77777777" w:rsidR="00056D21" w:rsidRDefault="00056D21" w:rsidP="002F5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300F935E" w14:textId="77777777">
      <w:tc>
        <w:tcPr>
          <w:tcW w:w="2500" w:type="pct"/>
          <w:tcBorders>
            <w:top w:val="nil"/>
            <w:left w:val="nil"/>
            <w:bottom w:val="nil"/>
            <w:right w:val="nil"/>
          </w:tcBorders>
        </w:tcPr>
        <w:p w14:paraId="6283315C" w14:textId="77777777" w:rsidR="00C90831" w:rsidRDefault="00056D21">
          <w:pPr>
            <w:spacing w:after="0"/>
          </w:pPr>
          <w:r>
            <w:rPr>
              <w:color w:val="808080"/>
              <w:sz w:val="18"/>
            </w:rPr>
            <w:t>Bassam Bukhowa</w:t>
          </w:r>
        </w:p>
      </w:tc>
      <w:tc>
        <w:tcPr>
          <w:tcW w:w="2500" w:type="pct"/>
          <w:tcBorders>
            <w:top w:val="nil"/>
            <w:left w:val="nil"/>
            <w:bottom w:val="nil"/>
            <w:right w:val="nil"/>
          </w:tcBorders>
        </w:tcPr>
        <w:p w14:paraId="5E099114" w14:textId="77777777"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Pr>
              <w:color w:val="808080"/>
              <w:sz w:val="18"/>
            </w:rPr>
            <w:fldChar w:fldCharType="end"/>
          </w:r>
        </w:p>
      </w:tc>
    </w:tr>
  </w:tbl>
  <w:p w14:paraId="60955497" w14:textId="77777777" w:rsidR="00C90831" w:rsidRDefault="00C90831">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3BF91A01" w14:textId="77777777">
      <w:tc>
        <w:tcPr>
          <w:tcW w:w="2500" w:type="pct"/>
          <w:tcBorders>
            <w:top w:val="nil"/>
            <w:left w:val="nil"/>
            <w:bottom w:val="nil"/>
            <w:right w:val="nil"/>
          </w:tcBorders>
        </w:tcPr>
        <w:p w14:paraId="7B9EC296" w14:textId="77777777" w:rsidR="00C90831" w:rsidRDefault="00056D21">
          <w:pPr>
            <w:spacing w:after="0"/>
          </w:pPr>
          <w:r>
            <w:rPr>
              <w:color w:val="808080"/>
              <w:sz w:val="18"/>
            </w:rPr>
            <w:t>Bassam Bukhowa</w:t>
          </w:r>
        </w:p>
      </w:tc>
      <w:tc>
        <w:tcPr>
          <w:tcW w:w="2500" w:type="pct"/>
          <w:tcBorders>
            <w:top w:val="nil"/>
            <w:left w:val="nil"/>
            <w:bottom w:val="nil"/>
            <w:right w:val="nil"/>
          </w:tcBorders>
        </w:tcPr>
        <w:p w14:paraId="149BE6FC" w14:textId="02B43803"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sidR="000A5244">
            <w:rPr>
              <w:color w:val="808080"/>
              <w:sz w:val="18"/>
            </w:rPr>
            <w:fldChar w:fldCharType="separate"/>
          </w:r>
          <w:r w:rsidR="000A5244">
            <w:rPr>
              <w:noProof/>
              <w:color w:val="808080"/>
              <w:sz w:val="18"/>
            </w:rPr>
            <w:t>1</w: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sidR="000A5244">
            <w:rPr>
              <w:color w:val="808080"/>
              <w:sz w:val="18"/>
            </w:rPr>
            <w:fldChar w:fldCharType="separate"/>
          </w:r>
          <w:r w:rsidR="000A5244">
            <w:rPr>
              <w:noProof/>
              <w:color w:val="808080"/>
              <w:sz w:val="18"/>
            </w:rPr>
            <w:t>2</w:t>
          </w:r>
          <w:r>
            <w:rPr>
              <w:color w:val="808080"/>
              <w:sz w:val="18"/>
            </w:rPr>
            <w:fldChar w:fldCharType="end"/>
          </w:r>
        </w:p>
      </w:tc>
    </w:tr>
  </w:tbl>
  <w:p w14:paraId="5E6764A4" w14:textId="77777777" w:rsidR="00C90831" w:rsidRDefault="00C90831">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F4A12" w14:textId="77777777" w:rsidR="002F5FE7" w:rsidRDefault="002F5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C0329" w14:textId="77777777" w:rsidR="00056D21" w:rsidRDefault="00056D21" w:rsidP="002F5FE7">
      <w:pPr>
        <w:spacing w:after="0" w:line="240" w:lineRule="auto"/>
      </w:pPr>
      <w:r>
        <w:separator/>
      </w:r>
    </w:p>
  </w:footnote>
  <w:footnote w:type="continuationSeparator" w:id="0">
    <w:p w14:paraId="63267BCA" w14:textId="77777777" w:rsidR="00056D21" w:rsidRDefault="00056D21" w:rsidP="002F5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42C03" w14:textId="77777777" w:rsidR="002F5FE7" w:rsidRDefault="002F5F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b/>
        <w:color w:val="1F4E79"/>
        <w:sz w:val="20"/>
      </w:rPr>
      <w:t>IT8204 Week 4 Session 2 Structured Extract v1.0</w:t>
    </w:r>
  </w:p>
  <w:p w14:paraId="66F57A94" w14:textId="2B872235" w:rsidR="002F5FE7" w:rsidRDefault="002F5FE7" w:rsidP="002F5FE7">
    <w:pPr>
      <w:pStyle w:val="Header"/>
      <w:jc w:val="center"/>
    </w:pPr>
    <w:r>
      <w:rPr>
        <w:noProof/>
      </w:rPr>
      <w:drawing>
        <wp:inline distT="0" distB="0" distL="0" distR="0" wp14:anchorId="7A38259D" wp14:editId="5707FA7C">
          <wp:extent cx="3263900" cy="512094"/>
          <wp:effectExtent l="0" t="0" r="0" b="2540"/>
          <wp:docPr id="663283008" name="Picture 43" descr="A blue and black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83008" name="Picture 43" descr="A blue and black logo  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93CF3" w14:textId="77777777" w:rsidR="002F5FE7" w:rsidRDefault="002F5FE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A63"/>
    <w:rsid w:val="000010CF"/>
    <w:rsid w:val="00004D5A"/>
    <w:rsid w:val="000222DE"/>
    <w:rsid w:val="00025D3C"/>
    <w:rsid w:val="00040220"/>
    <w:rsid w:val="000445E9"/>
    <w:rsid w:val="0004464D"/>
    <w:rsid w:val="000542D0"/>
    <w:rsid w:val="00056D21"/>
    <w:rsid w:val="000613CC"/>
    <w:rsid w:val="0006179C"/>
    <w:rsid w:val="00062890"/>
    <w:rsid w:val="00062ED6"/>
    <w:rsid w:val="00065F4F"/>
    <w:rsid w:val="0007019B"/>
    <w:rsid w:val="0007291A"/>
    <w:rsid w:val="00076BE7"/>
    <w:rsid w:val="00082BAA"/>
    <w:rsid w:val="0008625E"/>
    <w:rsid w:val="000927D4"/>
    <w:rsid w:val="00092C7B"/>
    <w:rsid w:val="00095FEA"/>
    <w:rsid w:val="000A5244"/>
    <w:rsid w:val="000B1215"/>
    <w:rsid w:val="000C15F0"/>
    <w:rsid w:val="000C26BA"/>
    <w:rsid w:val="000D11AB"/>
    <w:rsid w:val="000D5C71"/>
    <w:rsid w:val="000D5E80"/>
    <w:rsid w:val="000D61FF"/>
    <w:rsid w:val="000E19B7"/>
    <w:rsid w:val="000F1EBC"/>
    <w:rsid w:val="001067CF"/>
    <w:rsid w:val="00124BCE"/>
    <w:rsid w:val="0012779E"/>
    <w:rsid w:val="00132BD9"/>
    <w:rsid w:val="001369D9"/>
    <w:rsid w:val="001401E2"/>
    <w:rsid w:val="00140797"/>
    <w:rsid w:val="00141C2F"/>
    <w:rsid w:val="00154FDD"/>
    <w:rsid w:val="00164BA0"/>
    <w:rsid w:val="00166587"/>
    <w:rsid w:val="001667E1"/>
    <w:rsid w:val="00173153"/>
    <w:rsid w:val="0017444B"/>
    <w:rsid w:val="00177B4F"/>
    <w:rsid w:val="00187E7B"/>
    <w:rsid w:val="00191A66"/>
    <w:rsid w:val="00191E86"/>
    <w:rsid w:val="00192963"/>
    <w:rsid w:val="00193179"/>
    <w:rsid w:val="00195D89"/>
    <w:rsid w:val="001979CF"/>
    <w:rsid w:val="001A1933"/>
    <w:rsid w:val="001A3016"/>
    <w:rsid w:val="001B1F08"/>
    <w:rsid w:val="001C12F0"/>
    <w:rsid w:val="001C3926"/>
    <w:rsid w:val="001D027A"/>
    <w:rsid w:val="001D055A"/>
    <w:rsid w:val="001D1765"/>
    <w:rsid w:val="001E3D58"/>
    <w:rsid w:val="001E4B79"/>
    <w:rsid w:val="001E5742"/>
    <w:rsid w:val="001E61D4"/>
    <w:rsid w:val="001F3CFB"/>
    <w:rsid w:val="001F6C9C"/>
    <w:rsid w:val="0020063D"/>
    <w:rsid w:val="00207032"/>
    <w:rsid w:val="002124CE"/>
    <w:rsid w:val="00214FF4"/>
    <w:rsid w:val="00220AD5"/>
    <w:rsid w:val="00226DC0"/>
    <w:rsid w:val="00227381"/>
    <w:rsid w:val="002368C6"/>
    <w:rsid w:val="0024127E"/>
    <w:rsid w:val="00244300"/>
    <w:rsid w:val="00245FF7"/>
    <w:rsid w:val="00246922"/>
    <w:rsid w:val="002548B0"/>
    <w:rsid w:val="00255FF4"/>
    <w:rsid w:val="00266BF8"/>
    <w:rsid w:val="002675CB"/>
    <w:rsid w:val="002732BE"/>
    <w:rsid w:val="00273663"/>
    <w:rsid w:val="00273D19"/>
    <w:rsid w:val="002778F7"/>
    <w:rsid w:val="00281069"/>
    <w:rsid w:val="0028349B"/>
    <w:rsid w:val="002839C7"/>
    <w:rsid w:val="00286F43"/>
    <w:rsid w:val="00287CC6"/>
    <w:rsid w:val="00290E2C"/>
    <w:rsid w:val="00291149"/>
    <w:rsid w:val="00292009"/>
    <w:rsid w:val="002A33C3"/>
    <w:rsid w:val="002B374D"/>
    <w:rsid w:val="002B3E58"/>
    <w:rsid w:val="002B3E79"/>
    <w:rsid w:val="002B762A"/>
    <w:rsid w:val="002B7BCA"/>
    <w:rsid w:val="002C1BB7"/>
    <w:rsid w:val="002C2D19"/>
    <w:rsid w:val="002D74F7"/>
    <w:rsid w:val="002D7B2E"/>
    <w:rsid w:val="002D7DD0"/>
    <w:rsid w:val="002E2193"/>
    <w:rsid w:val="002E4868"/>
    <w:rsid w:val="002E6F45"/>
    <w:rsid w:val="002E766B"/>
    <w:rsid w:val="002E7EE6"/>
    <w:rsid w:val="002F1A85"/>
    <w:rsid w:val="002F3373"/>
    <w:rsid w:val="002F5FE7"/>
    <w:rsid w:val="0030165C"/>
    <w:rsid w:val="0031627B"/>
    <w:rsid w:val="003237BB"/>
    <w:rsid w:val="00327658"/>
    <w:rsid w:val="00334137"/>
    <w:rsid w:val="003353DE"/>
    <w:rsid w:val="00340F24"/>
    <w:rsid w:val="003444E8"/>
    <w:rsid w:val="003451DE"/>
    <w:rsid w:val="00345A01"/>
    <w:rsid w:val="00352FD0"/>
    <w:rsid w:val="0035506F"/>
    <w:rsid w:val="00355569"/>
    <w:rsid w:val="0035785B"/>
    <w:rsid w:val="00371501"/>
    <w:rsid w:val="00372319"/>
    <w:rsid w:val="0037271F"/>
    <w:rsid w:val="00372DF7"/>
    <w:rsid w:val="00376532"/>
    <w:rsid w:val="00390B2D"/>
    <w:rsid w:val="00393287"/>
    <w:rsid w:val="00395D3E"/>
    <w:rsid w:val="003A33C4"/>
    <w:rsid w:val="003A3CED"/>
    <w:rsid w:val="003A4636"/>
    <w:rsid w:val="003A4C81"/>
    <w:rsid w:val="003A51E0"/>
    <w:rsid w:val="003B52CC"/>
    <w:rsid w:val="003C0126"/>
    <w:rsid w:val="003C3239"/>
    <w:rsid w:val="003C619D"/>
    <w:rsid w:val="003C6429"/>
    <w:rsid w:val="003C79ED"/>
    <w:rsid w:val="003D09E2"/>
    <w:rsid w:val="003D67C8"/>
    <w:rsid w:val="003D7024"/>
    <w:rsid w:val="003E05E7"/>
    <w:rsid w:val="003F19A1"/>
    <w:rsid w:val="003F1CF2"/>
    <w:rsid w:val="003F1F69"/>
    <w:rsid w:val="003F3489"/>
    <w:rsid w:val="003F5448"/>
    <w:rsid w:val="0040240A"/>
    <w:rsid w:val="00403800"/>
    <w:rsid w:val="0040700E"/>
    <w:rsid w:val="00410BE5"/>
    <w:rsid w:val="00415AAD"/>
    <w:rsid w:val="00416B81"/>
    <w:rsid w:val="00434280"/>
    <w:rsid w:val="00434B1F"/>
    <w:rsid w:val="00446007"/>
    <w:rsid w:val="00451352"/>
    <w:rsid w:val="00456DC7"/>
    <w:rsid w:val="004623FD"/>
    <w:rsid w:val="00465602"/>
    <w:rsid w:val="00465B4F"/>
    <w:rsid w:val="004738E7"/>
    <w:rsid w:val="00481641"/>
    <w:rsid w:val="00481D22"/>
    <w:rsid w:val="0049264E"/>
    <w:rsid w:val="00493F57"/>
    <w:rsid w:val="00494282"/>
    <w:rsid w:val="0049761D"/>
    <w:rsid w:val="004B02F1"/>
    <w:rsid w:val="004B17ED"/>
    <w:rsid w:val="004B26AC"/>
    <w:rsid w:val="004B68F6"/>
    <w:rsid w:val="004C0E2D"/>
    <w:rsid w:val="004C2A29"/>
    <w:rsid w:val="004C3ED5"/>
    <w:rsid w:val="004D1A3A"/>
    <w:rsid w:val="004D30A3"/>
    <w:rsid w:val="004D4F25"/>
    <w:rsid w:val="004D72C7"/>
    <w:rsid w:val="004E70BF"/>
    <w:rsid w:val="004F014E"/>
    <w:rsid w:val="004F0A89"/>
    <w:rsid w:val="005074D6"/>
    <w:rsid w:val="005112B0"/>
    <w:rsid w:val="00512402"/>
    <w:rsid w:val="00516776"/>
    <w:rsid w:val="00525A9B"/>
    <w:rsid w:val="00530B1B"/>
    <w:rsid w:val="005341C3"/>
    <w:rsid w:val="00534512"/>
    <w:rsid w:val="00535960"/>
    <w:rsid w:val="0054142F"/>
    <w:rsid w:val="00541631"/>
    <w:rsid w:val="005455D5"/>
    <w:rsid w:val="00550F32"/>
    <w:rsid w:val="005511DF"/>
    <w:rsid w:val="00552AF1"/>
    <w:rsid w:val="00552BE5"/>
    <w:rsid w:val="00553753"/>
    <w:rsid w:val="00555D9E"/>
    <w:rsid w:val="005570D9"/>
    <w:rsid w:val="005724BE"/>
    <w:rsid w:val="0057457A"/>
    <w:rsid w:val="00580A88"/>
    <w:rsid w:val="00592991"/>
    <w:rsid w:val="00594C6E"/>
    <w:rsid w:val="005961A3"/>
    <w:rsid w:val="0059772F"/>
    <w:rsid w:val="005A0513"/>
    <w:rsid w:val="005A2A75"/>
    <w:rsid w:val="005A2F64"/>
    <w:rsid w:val="005A33CF"/>
    <w:rsid w:val="005C37BA"/>
    <w:rsid w:val="005C3CEA"/>
    <w:rsid w:val="005C3FF8"/>
    <w:rsid w:val="005C5246"/>
    <w:rsid w:val="005C640F"/>
    <w:rsid w:val="005D7DA1"/>
    <w:rsid w:val="005E6562"/>
    <w:rsid w:val="005F44AD"/>
    <w:rsid w:val="00610080"/>
    <w:rsid w:val="00611D46"/>
    <w:rsid w:val="006175EA"/>
    <w:rsid w:val="00621E1B"/>
    <w:rsid w:val="00622658"/>
    <w:rsid w:val="0062754F"/>
    <w:rsid w:val="00637153"/>
    <w:rsid w:val="00650CF2"/>
    <w:rsid w:val="00651D3F"/>
    <w:rsid w:val="0065262E"/>
    <w:rsid w:val="00652EA3"/>
    <w:rsid w:val="0065486B"/>
    <w:rsid w:val="0066010A"/>
    <w:rsid w:val="00663B53"/>
    <w:rsid w:val="006661E6"/>
    <w:rsid w:val="00666991"/>
    <w:rsid w:val="00682EE6"/>
    <w:rsid w:val="00683DBA"/>
    <w:rsid w:val="00691A83"/>
    <w:rsid w:val="00693414"/>
    <w:rsid w:val="006A3AB8"/>
    <w:rsid w:val="006B0028"/>
    <w:rsid w:val="006B09DF"/>
    <w:rsid w:val="006B1E83"/>
    <w:rsid w:val="006C5301"/>
    <w:rsid w:val="006D011B"/>
    <w:rsid w:val="006D759C"/>
    <w:rsid w:val="006E01A4"/>
    <w:rsid w:val="006E3734"/>
    <w:rsid w:val="006E4BC3"/>
    <w:rsid w:val="006E4F08"/>
    <w:rsid w:val="006E5CDE"/>
    <w:rsid w:val="006E5E61"/>
    <w:rsid w:val="006F2882"/>
    <w:rsid w:val="006F780D"/>
    <w:rsid w:val="007038D5"/>
    <w:rsid w:val="00705F9A"/>
    <w:rsid w:val="0070655F"/>
    <w:rsid w:val="007271B2"/>
    <w:rsid w:val="00733A40"/>
    <w:rsid w:val="007363AD"/>
    <w:rsid w:val="00740BE1"/>
    <w:rsid w:val="00741E5D"/>
    <w:rsid w:val="00742DCE"/>
    <w:rsid w:val="007432FF"/>
    <w:rsid w:val="00743C72"/>
    <w:rsid w:val="007454BA"/>
    <w:rsid w:val="00746839"/>
    <w:rsid w:val="0075245D"/>
    <w:rsid w:val="00754202"/>
    <w:rsid w:val="00761C27"/>
    <w:rsid w:val="007644F0"/>
    <w:rsid w:val="0076512D"/>
    <w:rsid w:val="00767B48"/>
    <w:rsid w:val="00775487"/>
    <w:rsid w:val="007846B2"/>
    <w:rsid w:val="00790698"/>
    <w:rsid w:val="0079410D"/>
    <w:rsid w:val="00794C6B"/>
    <w:rsid w:val="00795F2E"/>
    <w:rsid w:val="007A1450"/>
    <w:rsid w:val="007A1AF5"/>
    <w:rsid w:val="007A5996"/>
    <w:rsid w:val="007B2D32"/>
    <w:rsid w:val="007B484A"/>
    <w:rsid w:val="007B5C1C"/>
    <w:rsid w:val="007B7430"/>
    <w:rsid w:val="007B7C1D"/>
    <w:rsid w:val="007C13F4"/>
    <w:rsid w:val="007D001F"/>
    <w:rsid w:val="007D44E7"/>
    <w:rsid w:val="007E39C8"/>
    <w:rsid w:val="007E3B0B"/>
    <w:rsid w:val="007E44C4"/>
    <w:rsid w:val="007E60CC"/>
    <w:rsid w:val="007F341E"/>
    <w:rsid w:val="007F7FC1"/>
    <w:rsid w:val="00803FF8"/>
    <w:rsid w:val="008061CC"/>
    <w:rsid w:val="0080658B"/>
    <w:rsid w:val="0081132B"/>
    <w:rsid w:val="0082027A"/>
    <w:rsid w:val="00822D45"/>
    <w:rsid w:val="008310A7"/>
    <w:rsid w:val="00846FA1"/>
    <w:rsid w:val="00847FB4"/>
    <w:rsid w:val="00850670"/>
    <w:rsid w:val="00856042"/>
    <w:rsid w:val="0085791C"/>
    <w:rsid w:val="0085798E"/>
    <w:rsid w:val="008607F1"/>
    <w:rsid w:val="00872395"/>
    <w:rsid w:val="0088483A"/>
    <w:rsid w:val="00890DA7"/>
    <w:rsid w:val="008A2860"/>
    <w:rsid w:val="008A6060"/>
    <w:rsid w:val="008B6B6A"/>
    <w:rsid w:val="008B6EA9"/>
    <w:rsid w:val="008C0A3F"/>
    <w:rsid w:val="008C39B3"/>
    <w:rsid w:val="008C47BC"/>
    <w:rsid w:val="008D4404"/>
    <w:rsid w:val="008F0353"/>
    <w:rsid w:val="008F250D"/>
    <w:rsid w:val="008F5394"/>
    <w:rsid w:val="008F667D"/>
    <w:rsid w:val="00906B5A"/>
    <w:rsid w:val="00906D62"/>
    <w:rsid w:val="00906FC2"/>
    <w:rsid w:val="0091247D"/>
    <w:rsid w:val="00921C43"/>
    <w:rsid w:val="0092311E"/>
    <w:rsid w:val="00931A63"/>
    <w:rsid w:val="0093467A"/>
    <w:rsid w:val="00935E7C"/>
    <w:rsid w:val="00942586"/>
    <w:rsid w:val="0094571A"/>
    <w:rsid w:val="0094645B"/>
    <w:rsid w:val="0094737C"/>
    <w:rsid w:val="009507B6"/>
    <w:rsid w:val="00955E8A"/>
    <w:rsid w:val="009600F1"/>
    <w:rsid w:val="0096046F"/>
    <w:rsid w:val="00972CAE"/>
    <w:rsid w:val="00975397"/>
    <w:rsid w:val="00985BCD"/>
    <w:rsid w:val="00985C70"/>
    <w:rsid w:val="0099209E"/>
    <w:rsid w:val="009934A9"/>
    <w:rsid w:val="0099380F"/>
    <w:rsid w:val="00995E60"/>
    <w:rsid w:val="009A1E73"/>
    <w:rsid w:val="009A74AA"/>
    <w:rsid w:val="009B1FD9"/>
    <w:rsid w:val="009B38FA"/>
    <w:rsid w:val="009B4904"/>
    <w:rsid w:val="009C00D6"/>
    <w:rsid w:val="009C4AB0"/>
    <w:rsid w:val="009D3427"/>
    <w:rsid w:val="009D6E8B"/>
    <w:rsid w:val="009E7B62"/>
    <w:rsid w:val="009F2938"/>
    <w:rsid w:val="009F6365"/>
    <w:rsid w:val="009F79E9"/>
    <w:rsid w:val="009F7D43"/>
    <w:rsid w:val="00A0066F"/>
    <w:rsid w:val="00A0219B"/>
    <w:rsid w:val="00A04945"/>
    <w:rsid w:val="00A14A65"/>
    <w:rsid w:val="00A162B9"/>
    <w:rsid w:val="00A21901"/>
    <w:rsid w:val="00A2345A"/>
    <w:rsid w:val="00A27845"/>
    <w:rsid w:val="00A334DF"/>
    <w:rsid w:val="00A34437"/>
    <w:rsid w:val="00A413D4"/>
    <w:rsid w:val="00A4377E"/>
    <w:rsid w:val="00A4658E"/>
    <w:rsid w:val="00A50E0E"/>
    <w:rsid w:val="00A52186"/>
    <w:rsid w:val="00A52BF8"/>
    <w:rsid w:val="00A54A47"/>
    <w:rsid w:val="00A54A9A"/>
    <w:rsid w:val="00A57EC5"/>
    <w:rsid w:val="00A60E36"/>
    <w:rsid w:val="00A70373"/>
    <w:rsid w:val="00A707EB"/>
    <w:rsid w:val="00A73EB8"/>
    <w:rsid w:val="00A76430"/>
    <w:rsid w:val="00A76DA1"/>
    <w:rsid w:val="00A812A1"/>
    <w:rsid w:val="00A81727"/>
    <w:rsid w:val="00A82793"/>
    <w:rsid w:val="00A83CFD"/>
    <w:rsid w:val="00A840A8"/>
    <w:rsid w:val="00A860B8"/>
    <w:rsid w:val="00A90D17"/>
    <w:rsid w:val="00A96C6B"/>
    <w:rsid w:val="00AA5E01"/>
    <w:rsid w:val="00AA7DF0"/>
    <w:rsid w:val="00AB2336"/>
    <w:rsid w:val="00AB3727"/>
    <w:rsid w:val="00AB63C8"/>
    <w:rsid w:val="00AB6B66"/>
    <w:rsid w:val="00AC39EE"/>
    <w:rsid w:val="00AD0E36"/>
    <w:rsid w:val="00AD2205"/>
    <w:rsid w:val="00AD221A"/>
    <w:rsid w:val="00AD3DDF"/>
    <w:rsid w:val="00AD442B"/>
    <w:rsid w:val="00AD5183"/>
    <w:rsid w:val="00AD7851"/>
    <w:rsid w:val="00AE23E1"/>
    <w:rsid w:val="00AE30E1"/>
    <w:rsid w:val="00AE4AAB"/>
    <w:rsid w:val="00AF4EE0"/>
    <w:rsid w:val="00B042CC"/>
    <w:rsid w:val="00B05A66"/>
    <w:rsid w:val="00B1295C"/>
    <w:rsid w:val="00B22658"/>
    <w:rsid w:val="00B26E21"/>
    <w:rsid w:val="00B31052"/>
    <w:rsid w:val="00B3164C"/>
    <w:rsid w:val="00B437E0"/>
    <w:rsid w:val="00B5043D"/>
    <w:rsid w:val="00B5520D"/>
    <w:rsid w:val="00B56D1B"/>
    <w:rsid w:val="00B57252"/>
    <w:rsid w:val="00B62FEB"/>
    <w:rsid w:val="00B6407B"/>
    <w:rsid w:val="00B66970"/>
    <w:rsid w:val="00B67F5D"/>
    <w:rsid w:val="00B745E1"/>
    <w:rsid w:val="00B80407"/>
    <w:rsid w:val="00B804E1"/>
    <w:rsid w:val="00B82251"/>
    <w:rsid w:val="00BA2276"/>
    <w:rsid w:val="00BA2557"/>
    <w:rsid w:val="00BA27D9"/>
    <w:rsid w:val="00BA600E"/>
    <w:rsid w:val="00BB0003"/>
    <w:rsid w:val="00BB487B"/>
    <w:rsid w:val="00BB79EF"/>
    <w:rsid w:val="00BC344A"/>
    <w:rsid w:val="00BC35E4"/>
    <w:rsid w:val="00BC71CB"/>
    <w:rsid w:val="00BE40AC"/>
    <w:rsid w:val="00BF0357"/>
    <w:rsid w:val="00C01F74"/>
    <w:rsid w:val="00C03F78"/>
    <w:rsid w:val="00C15D04"/>
    <w:rsid w:val="00C2352E"/>
    <w:rsid w:val="00C320ED"/>
    <w:rsid w:val="00C344F5"/>
    <w:rsid w:val="00C40D43"/>
    <w:rsid w:val="00C47B5C"/>
    <w:rsid w:val="00C5029A"/>
    <w:rsid w:val="00C531F0"/>
    <w:rsid w:val="00C66182"/>
    <w:rsid w:val="00C67998"/>
    <w:rsid w:val="00C721E4"/>
    <w:rsid w:val="00C75F60"/>
    <w:rsid w:val="00C762C8"/>
    <w:rsid w:val="00C82D12"/>
    <w:rsid w:val="00C8406C"/>
    <w:rsid w:val="00C90831"/>
    <w:rsid w:val="00C9471D"/>
    <w:rsid w:val="00CB1910"/>
    <w:rsid w:val="00CB68E1"/>
    <w:rsid w:val="00CC280F"/>
    <w:rsid w:val="00CC6699"/>
    <w:rsid w:val="00CD2663"/>
    <w:rsid w:val="00CD5F74"/>
    <w:rsid w:val="00CF48BE"/>
    <w:rsid w:val="00CF7D83"/>
    <w:rsid w:val="00D02ED9"/>
    <w:rsid w:val="00D04241"/>
    <w:rsid w:val="00D05173"/>
    <w:rsid w:val="00D17043"/>
    <w:rsid w:val="00D223B9"/>
    <w:rsid w:val="00D2726A"/>
    <w:rsid w:val="00D335D1"/>
    <w:rsid w:val="00D345A8"/>
    <w:rsid w:val="00D353BC"/>
    <w:rsid w:val="00D36468"/>
    <w:rsid w:val="00D43299"/>
    <w:rsid w:val="00D51435"/>
    <w:rsid w:val="00D57ADA"/>
    <w:rsid w:val="00D63984"/>
    <w:rsid w:val="00D91343"/>
    <w:rsid w:val="00D924FB"/>
    <w:rsid w:val="00D9473D"/>
    <w:rsid w:val="00DA60AC"/>
    <w:rsid w:val="00DD63AE"/>
    <w:rsid w:val="00DD6ECC"/>
    <w:rsid w:val="00DE2B37"/>
    <w:rsid w:val="00DE7E71"/>
    <w:rsid w:val="00DF69E0"/>
    <w:rsid w:val="00E2704F"/>
    <w:rsid w:val="00E27981"/>
    <w:rsid w:val="00E32807"/>
    <w:rsid w:val="00E3427B"/>
    <w:rsid w:val="00E4070B"/>
    <w:rsid w:val="00E4565A"/>
    <w:rsid w:val="00E471A9"/>
    <w:rsid w:val="00E50582"/>
    <w:rsid w:val="00E511D5"/>
    <w:rsid w:val="00E651C8"/>
    <w:rsid w:val="00E65D88"/>
    <w:rsid w:val="00E679EF"/>
    <w:rsid w:val="00E73E21"/>
    <w:rsid w:val="00E8117C"/>
    <w:rsid w:val="00E812D2"/>
    <w:rsid w:val="00E83D07"/>
    <w:rsid w:val="00E84181"/>
    <w:rsid w:val="00E87C2E"/>
    <w:rsid w:val="00E935CB"/>
    <w:rsid w:val="00E93C5A"/>
    <w:rsid w:val="00E96CD0"/>
    <w:rsid w:val="00EA27A5"/>
    <w:rsid w:val="00EA3E0C"/>
    <w:rsid w:val="00EA5B19"/>
    <w:rsid w:val="00EA5D37"/>
    <w:rsid w:val="00EA69E0"/>
    <w:rsid w:val="00EB6B2F"/>
    <w:rsid w:val="00EC10F6"/>
    <w:rsid w:val="00EC5C02"/>
    <w:rsid w:val="00ED196A"/>
    <w:rsid w:val="00ED3CA2"/>
    <w:rsid w:val="00EF647C"/>
    <w:rsid w:val="00F0254B"/>
    <w:rsid w:val="00F05DD1"/>
    <w:rsid w:val="00F067B1"/>
    <w:rsid w:val="00F155CA"/>
    <w:rsid w:val="00F27272"/>
    <w:rsid w:val="00F40A79"/>
    <w:rsid w:val="00F43451"/>
    <w:rsid w:val="00F449C0"/>
    <w:rsid w:val="00F47E80"/>
    <w:rsid w:val="00F5447C"/>
    <w:rsid w:val="00F60962"/>
    <w:rsid w:val="00F61643"/>
    <w:rsid w:val="00F61CDA"/>
    <w:rsid w:val="00F63945"/>
    <w:rsid w:val="00F65CC1"/>
    <w:rsid w:val="00F66063"/>
    <w:rsid w:val="00F70152"/>
    <w:rsid w:val="00F711D1"/>
    <w:rsid w:val="00F723EF"/>
    <w:rsid w:val="00F731FE"/>
    <w:rsid w:val="00F776FF"/>
    <w:rsid w:val="00F77C05"/>
    <w:rsid w:val="00F83E91"/>
    <w:rsid w:val="00F866FA"/>
    <w:rsid w:val="00F87E57"/>
    <w:rsid w:val="00F903B1"/>
    <w:rsid w:val="00F92C36"/>
    <w:rsid w:val="00F94F30"/>
    <w:rsid w:val="00FA1678"/>
    <w:rsid w:val="00FA4DE7"/>
    <w:rsid w:val="00FA7206"/>
    <w:rsid w:val="00FB00B7"/>
    <w:rsid w:val="00FB37AA"/>
    <w:rsid w:val="00FB4F08"/>
    <w:rsid w:val="00FB7FFD"/>
    <w:rsid w:val="00FC0DBC"/>
    <w:rsid w:val="00FF18F6"/>
    <w:rsid w:val="00FF3F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A3D5B"/>
  <w15:chartTrackingRefBased/>
  <w15:docId w15:val="{0B3D7D51-9680-49C3-94C2-9817F83CC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A63"/>
    <w:rPr>
      <w:rFonts w:eastAsiaTheme="majorEastAsia" w:cstheme="majorBidi"/>
      <w:color w:val="272727" w:themeColor="text1" w:themeTint="D8"/>
    </w:rPr>
  </w:style>
  <w:style w:type="paragraph" w:styleId="Title">
    <w:name w:val="Title"/>
    <w:basedOn w:val="Normal"/>
    <w:next w:val="Normal"/>
    <w:link w:val="TitleChar"/>
    <w:uiPriority w:val="10"/>
    <w:qFormat/>
    <w:rsid w:val="00931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A63"/>
    <w:pPr>
      <w:spacing w:before="160"/>
      <w:jc w:val="center"/>
    </w:pPr>
    <w:rPr>
      <w:i/>
      <w:iCs/>
      <w:color w:val="404040" w:themeColor="text1" w:themeTint="BF"/>
    </w:rPr>
  </w:style>
  <w:style w:type="character" w:customStyle="1" w:styleId="QuoteChar">
    <w:name w:val="Quote Char"/>
    <w:basedOn w:val="DefaultParagraphFont"/>
    <w:link w:val="Quote"/>
    <w:uiPriority w:val="29"/>
    <w:rsid w:val="00931A63"/>
    <w:rPr>
      <w:i/>
      <w:iCs/>
      <w:color w:val="404040" w:themeColor="text1" w:themeTint="BF"/>
    </w:rPr>
  </w:style>
  <w:style w:type="paragraph" w:styleId="ListParagraph">
    <w:name w:val="List Paragraph"/>
    <w:basedOn w:val="Normal"/>
    <w:uiPriority w:val="34"/>
    <w:qFormat/>
    <w:rsid w:val="00931A63"/>
    <w:pPr>
      <w:ind w:left="720"/>
      <w:contextualSpacing/>
    </w:pPr>
  </w:style>
  <w:style w:type="character" w:styleId="IntenseEmphasis">
    <w:name w:val="Intense Emphasis"/>
    <w:basedOn w:val="DefaultParagraphFont"/>
    <w:uiPriority w:val="21"/>
    <w:qFormat/>
    <w:rsid w:val="00931A63"/>
    <w:rPr>
      <w:i/>
      <w:iCs/>
      <w:color w:val="0F4761" w:themeColor="accent1" w:themeShade="BF"/>
    </w:rPr>
  </w:style>
  <w:style w:type="paragraph" w:styleId="IntenseQuote">
    <w:name w:val="Intense Quote"/>
    <w:basedOn w:val="Normal"/>
    <w:next w:val="Normal"/>
    <w:link w:val="IntenseQuoteChar"/>
    <w:uiPriority w:val="30"/>
    <w:qFormat/>
    <w:rsid w:val="00931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A63"/>
    <w:rPr>
      <w:i/>
      <w:iCs/>
      <w:color w:val="0F4761" w:themeColor="accent1" w:themeShade="BF"/>
    </w:rPr>
  </w:style>
  <w:style w:type="character" w:styleId="IntenseReference">
    <w:name w:val="Intense Reference"/>
    <w:basedOn w:val="DefaultParagraphFont"/>
    <w:uiPriority w:val="32"/>
    <w:qFormat/>
    <w:rsid w:val="00931A63"/>
    <w:rPr>
      <w:b/>
      <w:bCs/>
      <w:smallCaps/>
      <w:color w:val="0F4761" w:themeColor="accent1" w:themeShade="BF"/>
      <w:spacing w:val="5"/>
    </w:rPr>
  </w:style>
  <w:style w:type="paragraph" w:styleId="Header">
    <w:name w:val="header"/>
    <w:basedOn w:val="Normal"/>
    <w:link w:val="HeaderChar"/>
    <w:uiPriority w:val="99"/>
    <w:unhideWhenUsed/>
    <w:rsid w:val="002F5F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FE7"/>
  </w:style>
  <w:style w:type="paragraph" w:styleId="Footer">
    <w:name w:val="footer"/>
    <w:basedOn w:val="Normal"/>
    <w:link w:val="FooterChar"/>
    <w:uiPriority w:val="99"/>
    <w:unhideWhenUsed/>
    <w:rsid w:val="002F5F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F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1</Characters>
  <Application>Microsoft Office Word</Application>
  <DocSecurity>0</DocSecurity>
  <Lines>1</Lines>
  <Paragraphs>1</Paragraphs>
  <ScaleCrop>false</ScaleCrop>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Bassam Bukhowa</dc:creator>
  <cp:keywords/>
  <dc:description/>
  <cp:lastModifiedBy>Bassam Bukhowa</cp:lastModifiedBy>
  <cp:revision>4</cp:revision>
  <dcterms:created xsi:type="dcterms:W3CDTF">2026-05-16T22:44:00Z</dcterms:created>
  <dcterms:modified xsi:type="dcterms:W3CDTF">2026-05-20T12:02:00Z</dcterms:modified>
</cp:coreProperties>
</file>