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Sample product description: Dilmun Wallet</w:t>
      </w:r>
    </w:p>
    <w:p>
      <w:r>
        <w:rPr>
          <w:b/>
          <w:color w:val="1F4E79"/>
          <w:sz w:val="24"/>
        </w:rPr>
        <w:t>Week 5, Session 1  |  The document you map against the Crypto-asset Module (CRA)</w:t>
      </w:r>
    </w:p>
    <w:p>
      <w:r>
        <w:rPr>
          <w:i/>
          <w:color w:val="808080"/>
          <w:sz w:val="18"/>
        </w:rPr>
        <w:t>A realistically disguised Bahraini firm, written as its own business team would write it.</w:t>
      </w:r>
    </w:p>
    <w:p>
      <w:r>
        <w:rPr>
          <w:b/>
          <w:i w:val="0"/>
          <w:sz w:val="22"/>
        </w:rPr>
        <w:t>How to use this page</w:t>
      </w:r>
    </w:p>
    <w:p>
      <w:pPr>
        <w:spacing w:after="40"/>
        <w:ind w:left="432" w:hanging="216"/>
      </w:pPr>
      <w:r>
        <w:rPr>
          <w:sz w:val="22"/>
        </w:rPr>
        <w:t>•  This is the product description your group annotates in Task 3. Read it once straight through before you start tagging anything.</w:t>
      </w:r>
    </w:p>
    <w:p>
      <w:pPr>
        <w:spacing w:after="40"/>
        <w:ind w:left="432" w:hanging="216"/>
      </w:pPr>
      <w:r>
        <w:rPr>
          <w:sz w:val="22"/>
        </w:rPr>
        <w:t>•  Every paragraph is numbered so your group can point at the same thing. Tag each paragraph to the CRA chapter that governs it.</w:t>
      </w:r>
    </w:p>
    <w:p>
      <w:pPr>
        <w:spacing w:after="40"/>
        <w:ind w:left="432" w:hanging="216"/>
      </w:pPr>
      <w:r>
        <w:rPr>
          <w:sz w:val="22"/>
        </w:rPr>
        <w:t>•  The firm has written this the way a business team writes: it describes what the product does and makes no claim about which rules apply. Deciding that is your work.</w:t>
      </w:r>
    </w:p>
    <w:p>
      <w:pPr>
        <w:spacing w:after="40"/>
        <w:ind w:left="432" w:hanging="216"/>
      </w:pPr>
      <w:r>
        <w:rPr>
          <w:sz w:val="22"/>
        </w:rPr>
        <w:t>•  Some paragraphs raise more than one obligation. At least one describes something the firm could not lawfully do without a licence it has not mentioned. At least one contains a judgement the firm has simply assumed, and assumed wrongly.</w:t>
      </w:r>
    </w:p>
    <w:p>
      <w:r>
        <w:rPr>
          <w:b w:val="0"/>
          <w:i w:val="0"/>
          <w:sz w:val="22"/>
        </w:rPr>
      </w:r>
    </w:p>
    <w:p>
      <w:r>
        <w:rPr>
          <w:b/>
          <w:i w:val="0"/>
          <w:sz w:val="22"/>
        </w:rPr>
        <w:t>1. What we are building</w:t>
      </w:r>
    </w:p>
    <w:p>
      <w:r>
        <w:rPr>
          <w:b w:val="0"/>
          <w:i w:val="0"/>
          <w:sz w:val="22"/>
        </w:rPr>
        <w:t>Dilmun Digital Assets W.L.L. is a Bahraini company with offices in Manama. We plan to launch a mobile application called Dilmun Wallet for retail customers in Bahrain and, in a later phase, across the Gulf Cooperation Council (GCC). The application lets a customer buy, hold, send and sell crypto-assets using Bahraini dinar (BHD) from a local bank account. We expect to open to the public in the first quarter of next year.</w:t>
      </w:r>
    </w:p>
    <w:p>
      <w:r>
        <w:rPr>
          <w:b/>
          <w:i w:val="0"/>
          <w:sz w:val="22"/>
        </w:rPr>
        <w:t>2. Opening an account</w:t>
      </w:r>
    </w:p>
    <w:p>
      <w:r>
        <w:rPr>
          <w:b w:val="0"/>
          <w:i w:val="0"/>
          <w:sz w:val="22"/>
        </w:rPr>
        <w:t>A customer signs up in the application with an identity document and a selfie. Our supplier checks the document automatically. Most customers are approved in under five minutes. We do not meet the customer in person at any point. We will not open an account for anyone under eighteen.</w:t>
      </w:r>
    </w:p>
    <w:p>
      <w:r>
        <w:rPr>
          <w:b/>
          <w:i w:val="0"/>
          <w:sz w:val="22"/>
        </w:rPr>
        <w:t>3. Holding the customer's assets</w:t>
      </w:r>
    </w:p>
    <w:p>
      <w:r>
        <w:rPr>
          <w:b w:val="0"/>
          <w:i w:val="0"/>
          <w:sz w:val="22"/>
        </w:rPr>
        <w:t>The crypto-assets belong to the customer, but we hold the keys for them, so the customer never has to manage a recovery phrase. Ninety-five percent of holdings sit in offline storage. The remaining five percent stays online so that withdrawals are quick. Our own company treasury also holds crypto-assets, and at present both sit in the same set of wallets, which our operations team finds simpler to run.</w:t>
      </w:r>
    </w:p>
    <w:p>
      <w:r>
        <w:rPr>
          <w:b/>
          <w:i w:val="0"/>
          <w:sz w:val="22"/>
        </w:rPr>
        <w:t>4. Sending assets out</w:t>
      </w:r>
    </w:p>
    <w:p>
      <w:r>
        <w:rPr>
          <w:b w:val="0"/>
          <w:i w:val="0"/>
          <w:sz w:val="22"/>
        </w:rPr>
        <w:t>A customer may send crypto-assets from Dilmun Wallet to an account at another firm, or to a wallet the customer controls themselves on their own phone. We currently attach the sender's and the receiver's name and account details only when the destination is another licensed firm. When the destination is the customer's own wallet, we send nothing with it, because in our view no second firm is involved.</w:t>
      </w:r>
    </w:p>
    <w:p>
      <w:r>
        <w:rPr>
          <w:b/>
          <w:i w:val="0"/>
          <w:sz w:val="22"/>
        </w:rPr>
        <w:t>5. Earning on a balance</w:t>
      </w:r>
    </w:p>
    <w:p>
      <w:r>
        <w:rPr>
          <w:b w:val="0"/>
          <w:i w:val="0"/>
          <w:sz w:val="22"/>
        </w:rPr>
        <w:t>Customers may opt in to a feature we market as Dilmun Earn, which advertises a return of up to nine percent a year on a balance left with us. We generate that return by lending the pooled balances to two overseas trading firms. The application screen shows the nine percent figure in large type, with the conditions in a link headed Learn more.</w:t>
      </w:r>
    </w:p>
    <w:p>
      <w:r>
        <w:rPr>
          <w:b/>
          <w:i w:val="0"/>
          <w:sz w:val="22"/>
        </w:rPr>
        <w:t>6. Our own token</w:t>
      </w:r>
    </w:p>
    <w:p>
      <w:r>
        <w:rPr>
          <w:b w:val="0"/>
          <w:i w:val="0"/>
          <w:sz w:val="22"/>
        </w:rPr>
        <w:t>We intend to issue our own token, the Dilmun Point, and sell it to the public to raise money for the launch. Holders will receive lower trading fees and a vote on which crypto-assets we list next. We plan to publish a short document about the token on our website two weeks before the sale opens.</w:t>
      </w:r>
    </w:p>
    <w:p>
      <w:r>
        <w:rPr>
          <w:b/>
          <w:i w:val="0"/>
          <w:sz w:val="22"/>
        </w:rPr>
        <w:t>7. Matching customer orders</w:t>
      </w:r>
    </w:p>
    <w:p>
      <w:r>
        <w:rPr>
          <w:b w:val="0"/>
          <w:i w:val="0"/>
          <w:sz w:val="22"/>
        </w:rPr>
        <w:t>In phase two we will stop routing customer orders to an overseas venue and instead match our customers' buy and sell orders against each other inside our own system, with our own price screen and order book. We see this as a technical improvement that removes a supplier from the chain and lowers our costs.</w:t>
      </w:r>
    </w:p>
    <w:p>
      <w:r>
        <w:rPr>
          <w:b/>
          <w:i w:val="0"/>
          <w:sz w:val="22"/>
        </w:rPr>
        <w:t>8. Complaints and downtime</w:t>
      </w:r>
    </w:p>
    <w:p>
      <w:r>
        <w:rPr>
          <w:b w:val="0"/>
          <w:i w:val="0"/>
          <w:sz w:val="22"/>
        </w:rPr>
        <w:t>Customers contact us through an in-application chat. We aim to reply within three working days. During the volatile period last year the application was unavailable for several hours and customers could not sell. We did not publish anything about it at the time, and we have no written procedure for that situation.</w:t>
      </w:r>
    </w:p>
    <w:p>
      <w:r>
        <w:rPr>
          <w:b/>
          <w:i w:val="0"/>
          <w:sz w:val="22"/>
        </w:rPr>
        <w:t>9. Marketing</w:t>
      </w:r>
    </w:p>
    <w:p>
      <w:r>
        <w:rPr>
          <w:b w:val="0"/>
          <w:i w:val="0"/>
          <w:sz w:val="22"/>
        </w:rPr>
        <w:t>We will advertise on local radio and on social media, using the line 'grow your savings, safely'. An influencer campaign is planned with three Bahraini creators, who will be paid a commission for each new account opened through their link.</w:t>
      </w:r>
    </w:p>
    <w:p>
      <w:r>
        <w:rPr>
          <w:b w:val="0"/>
          <w:i w:val="0"/>
          <w:sz w:val="22"/>
        </w:rPr>
      </w:r>
    </w:p>
    <w:p>
      <w:r>
        <w:rPr>
          <w:b/>
          <w:i w:val="0"/>
          <w:sz w:val="22"/>
        </w:rPr>
        <w:t>Where the rules are</w:t>
      </w:r>
    </w:p>
    <w:p>
      <w:r>
        <w:rPr>
          <w:b w:val="0"/>
          <w:i w:val="0"/>
          <w:sz w:val="20"/>
        </w:rPr>
        <w:t>The Crypto-asset Module (CRA) is Volume 6 of the Central Bank of Bahrain (CBB) Rulebook. A copy is in your Week 5 Moodle section, and the Rulebook is also free to read at https://cbbrulebook.com. Cite the chapter, such as CRA-8, and not the detail of a particular amendment.</w:t>
      </w:r>
    </w:p>
    <w:p>
      <w:r>
        <w:rPr>
          <w:b w:val="0"/>
          <w:i/>
          <w:sz w:val="18"/>
        </w:rPr>
        <w:t>Dilmun Digital Assets W.L.L. is not a real company. The product, the figures and the conduct described are a realistic composite, written for teaching. Any resemblance to a licensed Bahraini firm is unintended.</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W5 Session 1 Sample Product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