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F4E79"/>
          <w:sz w:val="36"/>
        </w:rPr>
        <w:t>Structured Extract - Bahrain's Crypto-asset Rulebook, Chapter by Chapter</w:t>
      </w:r>
    </w:p>
    <w:p>
      <w:r>
        <w:rPr>
          <w:b/>
          <w:color w:val="1F4E79"/>
          <w:sz w:val="24"/>
        </w:rPr>
        <w:t>Your second reading: the argument itself, with guidance</w:t>
      </w:r>
    </w:p>
    <w:p>
      <w:r>
        <w:rPr>
          <w:i/>
          <w:color w:val="808080"/>
          <w:sz w:val="18"/>
        </w:rPr>
        <w:t>Week 5, Session 1</w:t>
      </w:r>
    </w:p>
    <w:p>
      <w:pPr>
        <w:spacing w:before="200" w:after="80"/>
      </w:pPr>
      <w:r>
        <w:rPr>
          <w:b/>
          <w:color w:val="1F4E79"/>
          <w:sz w:val="26"/>
        </w:rPr>
        <w:t>Why you are reading this</w:t>
      </w:r>
    </w:p>
    <w:p>
      <w:r>
        <w:rPr>
          <w:b w:val="0"/>
          <w:i w:val="0"/>
          <w:sz w:val="22"/>
        </w:rPr>
        <w:t>Crypto-asset Module (CRA) is Bahrain's crypto rulebook and the regulatory core of this course; you must be able to find the governing chapter fast.</w:t>
      </w:r>
    </w:p>
    <w:p>
      <w:pPr>
        <w:spacing w:before="200" w:after="80"/>
      </w:pPr>
      <w:r>
        <w:rPr>
          <w:b/>
          <w:color w:val="1F4E79"/>
          <w:sz w:val="26"/>
        </w:rPr>
        <w:t>The source</w:t>
      </w:r>
    </w:p>
    <w:p>
      <w:r>
        <w:rPr>
          <w:b w:val="0"/>
          <w:i/>
          <w:sz w:val="20"/>
        </w:rPr>
        <w:t>Central Bank of Bahrain (CBB) Rulebook Volume 6, Module CRA (2022) - chapters CRA-1/2/7/8/12/15 (primary source).</w:t>
      </w:r>
    </w:p>
    <w:p>
      <w:pPr>
        <w:spacing w:before="200" w:after="80"/>
      </w:pPr>
      <w:r>
        <w:rPr>
          <w:b/>
          <w:color w:val="1F4E79"/>
          <w:sz w:val="26"/>
        </w:rPr>
        <w:t>The core, in plain English</w:t>
      </w:r>
    </w:p>
    <w:p>
      <w:pPr>
        <w:spacing w:after="40"/>
        <w:ind w:left="432" w:hanging="216"/>
      </w:pPr>
      <w:r>
        <w:rPr>
          <w:sz w:val="22"/>
        </w:rPr>
        <w:t>•  CRA is organised by obligation, so mapping a product means locating the governing chapter.</w:t>
      </w:r>
    </w:p>
    <w:p>
      <w:pPr>
        <w:spacing w:after="40"/>
        <w:ind w:left="432" w:hanging="216"/>
      </w:pPr>
      <w:r>
        <w:rPr>
          <w:sz w:val="22"/>
        </w:rPr>
        <w:t>•  Custody (CRA-8) and anti-money laundering (AML)/countering the financing of terrorism (CFT) with the Travel Rule (CRA-7) are among the highest-risk obligations.</w:t>
      </w:r>
    </w:p>
    <w:p>
      <w:pPr>
        <w:spacing w:after="40"/>
        <w:ind w:left="432" w:hanging="216"/>
      </w:pPr>
      <w:r>
        <w:rPr>
          <w:sz w:val="22"/>
        </w:rPr>
        <w:t>•  Cite at the level of the chapter, because that stays the same. Never cite the detail of an amendment, because that changes.</w:t>
      </w:r>
    </w:p>
    <w:p>
      <w:pPr>
        <w:spacing w:before="200" w:after="80"/>
      </w:pPr>
      <w:r>
        <w:rPr>
          <w:b/>
          <w:color w:val="1F4E79"/>
          <w:sz w:val="26"/>
        </w:rPr>
        <w:t>Key facts you can use</w:t>
      </w:r>
    </w:p>
    <w:p>
      <w:pPr>
        <w:spacing w:after="40"/>
        <w:ind w:left="432" w:hanging="216"/>
      </w:pPr>
      <w:r>
        <w:rPr>
          <w:sz w:val="22"/>
        </w:rPr>
        <w:t>•  Module CRA is Volume 6 of the CBB Rulebook. Six chapters carry most of the weight. CRA-1 covers authorisation, which is who may operate at all. CRA-2 covers the licensing categories. CRA-7 covers AML/CFT, including the Travel Rule. CRA-8 covers the custody of clients' crypto-assets, and keeping them separate from the firm's own. CRA-12 covers conduct of business. CRA-15 covers digital tokens.</w:t>
      </w:r>
    </w:p>
    <w:p>
      <w:pPr>
        <w:spacing w:after="40"/>
        <w:ind w:left="432" w:hanging="216"/>
      </w:pPr>
      <w:r>
        <w:rPr>
          <w:sz w:val="22"/>
        </w:rPr>
        <w:t>•  The CBB has four crypto licence categories. Category 1 is for advice. Category 2 is for portfolio management and custody. Category 3 is for dealing, either as an agent for someone else or on the firm's own account. Category 4 is for operating a crypto-asset exchange. Only Category 4 allows a firm to run an exchange.</w:t>
      </w:r>
    </w:p>
    <w:p>
      <w:pPr>
        <w:spacing w:after="40"/>
        <w:ind w:left="432" w:hanging="216"/>
      </w:pPr>
      <w:r>
        <w:rPr>
          <w:sz w:val="22"/>
        </w:rPr>
        <w:t>•  Cite at the level of the chapter, because that stays the same for years. Never cite the detail of a particular amendment, because that detail changes.</w:t>
      </w:r>
    </w:p>
    <w:p>
      <w:pPr>
        <w:spacing w:before="200" w:after="80"/>
      </w:pPr>
      <w:r>
        <w:rPr>
          <w:b/>
          <w:color w:val="1F4E79"/>
          <w:sz w:val="26"/>
        </w:rPr>
        <w:t>Worked example</w:t>
      </w:r>
    </w:p>
    <w:p>
      <w:r>
        <w:rPr>
          <w:b w:val="0"/>
          <w:i w:val="0"/>
          <w:sz w:val="22"/>
        </w:rPr>
        <w:t>A Bahraini exchange wants to add a staking service. Which chapters govern it? Four of them. CRA-2: does its Category 4 licence actually cover this activity? CRA-8: how are the staked client assets held, and kept separate from the firm's own money? CRA-7: what AML checks are run on the customers? CRA-12: is the conduct fair, and is the risk disclosed to retail users?</w:t>
      </w:r>
    </w:p>
    <w:p>
      <w:pPr>
        <w:spacing w:before="200" w:after="80"/>
      </w:pPr>
      <w:r>
        <w:rPr>
          <w:b/>
          <w:color w:val="1F4E79"/>
          <w:sz w:val="26"/>
        </w:rPr>
        <w:t>Words to know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Token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 unit of value or of ownership recorded on a blockchain. It can stand for money, for a share in an asset, or for a right to use something.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Regulatory sandbox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 space where a firm may test a new financial product with real customers. The regulator watches closely and sets limits on it. It comes before the firm applies for a full licence.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Travel Rule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The international rule that the sender's and the receiver's identity details must be sent along with a crypto transfer between firms.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Staking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Locking up your own coins as a deposit so that you may help approve blocks. Cheat, and you lose the deposit.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Custody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Who holds the secret keys, and so who actually controls the assets. Either you hold them yourself, or a licensed firm holds them for you.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Pathway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The route a firm takes from an idea to a licence. It sets out which steps it must clear, in which order, and who approves each one.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CRA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CBB Crypto-asset Module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AML/CFT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anti-money-laundering / counter-financing of terrorism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Licence category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the type of CBB permission a firm holds, which sets what it is allowed to do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anti-money laundering (AML)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rules that stop criminal money being passed off as legitimate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Central Bank of Bahrain (CBB)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Bahrain's financial regulator; it decides who may run a financial business here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countering the financing of terrorism (CFT)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r/>
            <w:r>
              <w:rPr>
                <w:sz w:val="20"/>
              </w:rPr>
              <w:t>rules that stop money reaching terrorist groups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Guiding questions (answer these in your worksheet)</w:t>
      </w:r>
    </w:p>
    <w:p>
      <w:pPr>
        <w:spacing w:after="40"/>
        <w:ind w:left="432" w:hanging="216"/>
      </w:pPr>
      <w:r>
        <w:rPr>
          <w:sz w:val="22"/>
        </w:rPr>
        <w:t>•  Which chapter governs the custody of clients' crypto-assets?</w:t>
      </w:r>
    </w:p>
    <w:p>
      <w:pPr>
        <w:spacing w:after="40"/>
        <w:ind w:left="432" w:hanging="216"/>
      </w:pPr>
      <w:r>
        <w:rPr>
          <w:sz w:val="22"/>
        </w:rPr>
        <w:t>•  Which chapter carries the AML/CFT Travel-Rule obligation?</w:t>
      </w:r>
    </w:p>
    <w:p>
      <w:pPr>
        <w:spacing w:after="40"/>
        <w:ind w:left="432" w:hanging="216"/>
      </w:pPr>
      <w:r>
        <w:rPr>
          <w:sz w:val="22"/>
        </w:rPr>
        <w:t>•  For a sample exchange product, which three obligations look highest-risk?</w:t>
      </w:r>
    </w:p>
    <w:p>
      <w:pPr>
        <w:spacing w:before="200" w:after="80"/>
      </w:pPr>
      <w:r>
        <w:rPr>
          <w:b/>
          <w:color w:val="1F4E79"/>
          <w:sz w:val="26"/>
        </w:rPr>
        <w:t>What to extract</w:t>
      </w:r>
    </w:p>
    <w:p>
      <w:r>
        <w:rPr>
          <w:b w:val="0"/>
          <w:i w:val="0"/>
          <w:sz w:val="22"/>
        </w:rPr>
        <w:t>A quick lookup line: obligation -&gt; the CRA chapter that governs it.</w:t>
      </w:r>
    </w:p>
    <w:p>
      <w:r>
        <w:rPr>
          <w:b w:val="0"/>
          <w:i/>
          <w:sz w:val="18"/>
        </w:rPr>
        <w:t>Sources: Central Bank of Bahrain. CBB Rulebook Volume 6, Module CRA (Crypto-asset) - chapters CRA-1, CRA-2, CRA-7, CRA-8, CRA-12, CRA-15.; Central Bank of Bahrain. FinTech and Innovation / Regulatory Sandbox pages (cbb.gov.bh).</w:t>
      </w:r>
    </w:p>
    <w:sectPr w:rsidR="00177B4F" w:rsidRPr="00177B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BF6C" w14:textId="77777777" w:rsidR="00056D21" w:rsidRDefault="00056D21" w:rsidP="002F5FE7">
      <w:pPr>
        <w:spacing w:after="0" w:line="240" w:lineRule="auto"/>
      </w:pPr>
      <w:r>
        <w:separator/>
      </w:r>
    </w:p>
  </w:endnote>
  <w:endnote w:type="continuationSeparator" w:id="0">
    <w:p w14:paraId="57BF3AAD" w14:textId="77777777" w:rsidR="00056D21" w:rsidRDefault="00056D21" w:rsidP="002F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300F935E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6283315C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5E099114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60955497" w14:textId="77777777" w:rsidR="00C90831" w:rsidRDefault="00C90831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3BF91A01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7B9EC296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149BE6FC" w14:textId="02B43803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 w:rsidR="000A5244"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 w:rsidR="000A5244"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2</w: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5E6764A4" w14:textId="77777777" w:rsidR="00C90831" w:rsidRDefault="00C90831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4A12" w14:textId="77777777" w:rsidR="002F5FE7" w:rsidRDefault="002F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0329" w14:textId="77777777" w:rsidR="00056D21" w:rsidRDefault="00056D21" w:rsidP="002F5FE7">
      <w:pPr>
        <w:spacing w:after="0" w:line="240" w:lineRule="auto"/>
      </w:pPr>
      <w:r>
        <w:separator/>
      </w:r>
    </w:p>
  </w:footnote>
  <w:footnote w:type="continuationSeparator" w:id="0">
    <w:p w14:paraId="63267BCA" w14:textId="77777777" w:rsidR="00056D21" w:rsidRDefault="00056D21" w:rsidP="002F5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2C03" w14:textId="77777777" w:rsidR="002F5FE7" w:rsidRDefault="002F5F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b/>
        <w:color w:val="1F4E79"/>
        <w:sz w:val="20"/>
      </w:rPr>
      <w:t>IT8204 Week 5 Session 1 Structured Extract v1.0</w:t>
    </w:r>
  </w:p>
  <w:p w14:paraId="66F57A94" w14:textId="2B872235" w:rsidR="002F5FE7" w:rsidRDefault="002F5FE7" w:rsidP="002F5FE7">
    <w:pPr>
      <w:pStyle w:val="Header"/>
      <w:jc w:val="center"/>
    </w:pPr>
    <w:r>
      <w:rPr>
        <w:noProof/>
      </w:rPr>
      <w:drawing>
        <wp:inline distT="0" distB="0" distL="0" distR="0" wp14:anchorId="7A38259D" wp14:editId="5707FA7C">
          <wp:extent cx="3263900" cy="512094"/>
          <wp:effectExtent l="0" t="0" r="0" b="2540"/>
          <wp:docPr id="663283008" name="Picture 43" descr="A blue and black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283008" name="Picture 43" descr="A blue and black logo  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224" b="19132"/>
                  <a:stretch/>
                </pic:blipFill>
                <pic:spPr bwMode="auto">
                  <a:xfrm>
                    <a:off x="0" y="0"/>
                    <a:ext cx="3401864" cy="533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3CF3" w14:textId="77777777" w:rsidR="002F5FE7" w:rsidRDefault="002F5F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63"/>
    <w:rsid w:val="000010CF"/>
    <w:rsid w:val="00004D5A"/>
    <w:rsid w:val="000222DE"/>
    <w:rsid w:val="00025D3C"/>
    <w:rsid w:val="00040220"/>
    <w:rsid w:val="000445E9"/>
    <w:rsid w:val="0004464D"/>
    <w:rsid w:val="000542D0"/>
    <w:rsid w:val="00056D21"/>
    <w:rsid w:val="000613CC"/>
    <w:rsid w:val="0006179C"/>
    <w:rsid w:val="00062890"/>
    <w:rsid w:val="00062ED6"/>
    <w:rsid w:val="00065F4F"/>
    <w:rsid w:val="0007019B"/>
    <w:rsid w:val="0007291A"/>
    <w:rsid w:val="00076BE7"/>
    <w:rsid w:val="00082BAA"/>
    <w:rsid w:val="0008625E"/>
    <w:rsid w:val="000927D4"/>
    <w:rsid w:val="00092C7B"/>
    <w:rsid w:val="00095FEA"/>
    <w:rsid w:val="000A5244"/>
    <w:rsid w:val="000B1215"/>
    <w:rsid w:val="000C15F0"/>
    <w:rsid w:val="000C26BA"/>
    <w:rsid w:val="000D11AB"/>
    <w:rsid w:val="000D5C71"/>
    <w:rsid w:val="000D5E80"/>
    <w:rsid w:val="000D61FF"/>
    <w:rsid w:val="000E19B7"/>
    <w:rsid w:val="000F1EBC"/>
    <w:rsid w:val="001067CF"/>
    <w:rsid w:val="00124BCE"/>
    <w:rsid w:val="0012779E"/>
    <w:rsid w:val="00132BD9"/>
    <w:rsid w:val="001369D9"/>
    <w:rsid w:val="001401E2"/>
    <w:rsid w:val="00140797"/>
    <w:rsid w:val="00141C2F"/>
    <w:rsid w:val="00154FDD"/>
    <w:rsid w:val="00164BA0"/>
    <w:rsid w:val="00166587"/>
    <w:rsid w:val="001667E1"/>
    <w:rsid w:val="00173153"/>
    <w:rsid w:val="0017444B"/>
    <w:rsid w:val="00177B4F"/>
    <w:rsid w:val="00187E7B"/>
    <w:rsid w:val="00191A66"/>
    <w:rsid w:val="00191E86"/>
    <w:rsid w:val="00192963"/>
    <w:rsid w:val="00193179"/>
    <w:rsid w:val="00195D89"/>
    <w:rsid w:val="001979CF"/>
    <w:rsid w:val="001A1933"/>
    <w:rsid w:val="001A3016"/>
    <w:rsid w:val="001B1F08"/>
    <w:rsid w:val="001C12F0"/>
    <w:rsid w:val="001C3926"/>
    <w:rsid w:val="001D027A"/>
    <w:rsid w:val="001D055A"/>
    <w:rsid w:val="001D1765"/>
    <w:rsid w:val="001E3D58"/>
    <w:rsid w:val="001E4B79"/>
    <w:rsid w:val="001E5742"/>
    <w:rsid w:val="001E61D4"/>
    <w:rsid w:val="001F3CFB"/>
    <w:rsid w:val="001F6C9C"/>
    <w:rsid w:val="0020063D"/>
    <w:rsid w:val="00207032"/>
    <w:rsid w:val="002124CE"/>
    <w:rsid w:val="00214FF4"/>
    <w:rsid w:val="00220AD5"/>
    <w:rsid w:val="00226DC0"/>
    <w:rsid w:val="00227381"/>
    <w:rsid w:val="002368C6"/>
    <w:rsid w:val="0024127E"/>
    <w:rsid w:val="00244300"/>
    <w:rsid w:val="00245FF7"/>
    <w:rsid w:val="00246922"/>
    <w:rsid w:val="002548B0"/>
    <w:rsid w:val="00255FF4"/>
    <w:rsid w:val="00266BF8"/>
    <w:rsid w:val="002675CB"/>
    <w:rsid w:val="002732BE"/>
    <w:rsid w:val="00273663"/>
    <w:rsid w:val="00273D19"/>
    <w:rsid w:val="002778F7"/>
    <w:rsid w:val="00281069"/>
    <w:rsid w:val="0028349B"/>
    <w:rsid w:val="002839C7"/>
    <w:rsid w:val="00286F43"/>
    <w:rsid w:val="00287CC6"/>
    <w:rsid w:val="00290E2C"/>
    <w:rsid w:val="00291149"/>
    <w:rsid w:val="00292009"/>
    <w:rsid w:val="002A33C3"/>
    <w:rsid w:val="002B374D"/>
    <w:rsid w:val="002B3E58"/>
    <w:rsid w:val="002B3E79"/>
    <w:rsid w:val="002B762A"/>
    <w:rsid w:val="002B7BCA"/>
    <w:rsid w:val="002C1BB7"/>
    <w:rsid w:val="002C2D19"/>
    <w:rsid w:val="002D74F7"/>
    <w:rsid w:val="002D7B2E"/>
    <w:rsid w:val="002D7DD0"/>
    <w:rsid w:val="002E2193"/>
    <w:rsid w:val="002E4868"/>
    <w:rsid w:val="002E6F45"/>
    <w:rsid w:val="002E766B"/>
    <w:rsid w:val="002E7EE6"/>
    <w:rsid w:val="002F1A85"/>
    <w:rsid w:val="002F3373"/>
    <w:rsid w:val="002F5FE7"/>
    <w:rsid w:val="0030165C"/>
    <w:rsid w:val="0031627B"/>
    <w:rsid w:val="003237BB"/>
    <w:rsid w:val="00327658"/>
    <w:rsid w:val="00334137"/>
    <w:rsid w:val="003353DE"/>
    <w:rsid w:val="00340F24"/>
    <w:rsid w:val="003444E8"/>
    <w:rsid w:val="003451DE"/>
    <w:rsid w:val="00345A01"/>
    <w:rsid w:val="00352FD0"/>
    <w:rsid w:val="0035506F"/>
    <w:rsid w:val="00355569"/>
    <w:rsid w:val="0035785B"/>
    <w:rsid w:val="00371501"/>
    <w:rsid w:val="00372319"/>
    <w:rsid w:val="0037271F"/>
    <w:rsid w:val="00372DF7"/>
    <w:rsid w:val="00376532"/>
    <w:rsid w:val="00390B2D"/>
    <w:rsid w:val="00393287"/>
    <w:rsid w:val="00395D3E"/>
    <w:rsid w:val="003A33C4"/>
    <w:rsid w:val="003A3CED"/>
    <w:rsid w:val="003A4636"/>
    <w:rsid w:val="003A4C81"/>
    <w:rsid w:val="003A51E0"/>
    <w:rsid w:val="003B52CC"/>
    <w:rsid w:val="003C0126"/>
    <w:rsid w:val="003C3239"/>
    <w:rsid w:val="003C619D"/>
    <w:rsid w:val="003C6429"/>
    <w:rsid w:val="003C79ED"/>
    <w:rsid w:val="003D09E2"/>
    <w:rsid w:val="003D67C8"/>
    <w:rsid w:val="003D7024"/>
    <w:rsid w:val="003E05E7"/>
    <w:rsid w:val="003F19A1"/>
    <w:rsid w:val="003F1CF2"/>
    <w:rsid w:val="003F1F69"/>
    <w:rsid w:val="003F3489"/>
    <w:rsid w:val="003F5448"/>
    <w:rsid w:val="0040240A"/>
    <w:rsid w:val="00403800"/>
    <w:rsid w:val="0040700E"/>
    <w:rsid w:val="00410BE5"/>
    <w:rsid w:val="00415AAD"/>
    <w:rsid w:val="00416B81"/>
    <w:rsid w:val="00434280"/>
    <w:rsid w:val="00434B1F"/>
    <w:rsid w:val="00446007"/>
    <w:rsid w:val="00451352"/>
    <w:rsid w:val="00456DC7"/>
    <w:rsid w:val="004623FD"/>
    <w:rsid w:val="00465602"/>
    <w:rsid w:val="00465B4F"/>
    <w:rsid w:val="004738E7"/>
    <w:rsid w:val="00481641"/>
    <w:rsid w:val="00481D22"/>
    <w:rsid w:val="0049264E"/>
    <w:rsid w:val="00493F57"/>
    <w:rsid w:val="00494282"/>
    <w:rsid w:val="0049761D"/>
    <w:rsid w:val="004B02F1"/>
    <w:rsid w:val="004B17ED"/>
    <w:rsid w:val="004B26AC"/>
    <w:rsid w:val="004B68F6"/>
    <w:rsid w:val="004C0E2D"/>
    <w:rsid w:val="004C2A29"/>
    <w:rsid w:val="004C3ED5"/>
    <w:rsid w:val="004D1A3A"/>
    <w:rsid w:val="004D30A3"/>
    <w:rsid w:val="004D4F25"/>
    <w:rsid w:val="004D72C7"/>
    <w:rsid w:val="004E70BF"/>
    <w:rsid w:val="004F014E"/>
    <w:rsid w:val="004F0A89"/>
    <w:rsid w:val="005074D6"/>
    <w:rsid w:val="005112B0"/>
    <w:rsid w:val="00512402"/>
    <w:rsid w:val="00516776"/>
    <w:rsid w:val="00525A9B"/>
    <w:rsid w:val="00530B1B"/>
    <w:rsid w:val="005341C3"/>
    <w:rsid w:val="00534512"/>
    <w:rsid w:val="00535960"/>
    <w:rsid w:val="0054142F"/>
    <w:rsid w:val="00541631"/>
    <w:rsid w:val="005455D5"/>
    <w:rsid w:val="00550F32"/>
    <w:rsid w:val="005511DF"/>
    <w:rsid w:val="00552AF1"/>
    <w:rsid w:val="00552BE5"/>
    <w:rsid w:val="00553753"/>
    <w:rsid w:val="00555D9E"/>
    <w:rsid w:val="005570D9"/>
    <w:rsid w:val="005724BE"/>
    <w:rsid w:val="0057457A"/>
    <w:rsid w:val="00580A88"/>
    <w:rsid w:val="00592991"/>
    <w:rsid w:val="00594C6E"/>
    <w:rsid w:val="005961A3"/>
    <w:rsid w:val="0059772F"/>
    <w:rsid w:val="005A0513"/>
    <w:rsid w:val="005A2A75"/>
    <w:rsid w:val="005A2F64"/>
    <w:rsid w:val="005A33CF"/>
    <w:rsid w:val="005C37BA"/>
    <w:rsid w:val="005C3CEA"/>
    <w:rsid w:val="005C3FF8"/>
    <w:rsid w:val="005C5246"/>
    <w:rsid w:val="005C640F"/>
    <w:rsid w:val="005D7DA1"/>
    <w:rsid w:val="005E6562"/>
    <w:rsid w:val="005F44AD"/>
    <w:rsid w:val="00610080"/>
    <w:rsid w:val="00611D46"/>
    <w:rsid w:val="006175EA"/>
    <w:rsid w:val="00621E1B"/>
    <w:rsid w:val="00622658"/>
    <w:rsid w:val="0062754F"/>
    <w:rsid w:val="00637153"/>
    <w:rsid w:val="00650CF2"/>
    <w:rsid w:val="00651D3F"/>
    <w:rsid w:val="0065262E"/>
    <w:rsid w:val="00652EA3"/>
    <w:rsid w:val="0065486B"/>
    <w:rsid w:val="0066010A"/>
    <w:rsid w:val="00663B53"/>
    <w:rsid w:val="006661E6"/>
    <w:rsid w:val="00666991"/>
    <w:rsid w:val="00682EE6"/>
    <w:rsid w:val="00683DBA"/>
    <w:rsid w:val="00691A83"/>
    <w:rsid w:val="00693414"/>
    <w:rsid w:val="006A3AB8"/>
    <w:rsid w:val="006B0028"/>
    <w:rsid w:val="006B09DF"/>
    <w:rsid w:val="006B1E83"/>
    <w:rsid w:val="006C5301"/>
    <w:rsid w:val="006D011B"/>
    <w:rsid w:val="006D759C"/>
    <w:rsid w:val="006E01A4"/>
    <w:rsid w:val="006E3734"/>
    <w:rsid w:val="006E4BC3"/>
    <w:rsid w:val="006E4F08"/>
    <w:rsid w:val="006E5CDE"/>
    <w:rsid w:val="006E5E61"/>
    <w:rsid w:val="006F2882"/>
    <w:rsid w:val="006F780D"/>
    <w:rsid w:val="007038D5"/>
    <w:rsid w:val="00705F9A"/>
    <w:rsid w:val="0070655F"/>
    <w:rsid w:val="007271B2"/>
    <w:rsid w:val="00733A40"/>
    <w:rsid w:val="007363AD"/>
    <w:rsid w:val="00740BE1"/>
    <w:rsid w:val="00741E5D"/>
    <w:rsid w:val="00742DCE"/>
    <w:rsid w:val="007432FF"/>
    <w:rsid w:val="00743C72"/>
    <w:rsid w:val="007454BA"/>
    <w:rsid w:val="00746839"/>
    <w:rsid w:val="0075245D"/>
    <w:rsid w:val="00754202"/>
    <w:rsid w:val="00761C27"/>
    <w:rsid w:val="007644F0"/>
    <w:rsid w:val="0076512D"/>
    <w:rsid w:val="00767B48"/>
    <w:rsid w:val="00775487"/>
    <w:rsid w:val="007846B2"/>
    <w:rsid w:val="00790698"/>
    <w:rsid w:val="0079410D"/>
    <w:rsid w:val="00794C6B"/>
    <w:rsid w:val="00795F2E"/>
    <w:rsid w:val="007A1450"/>
    <w:rsid w:val="007A1AF5"/>
    <w:rsid w:val="007A5996"/>
    <w:rsid w:val="007B2D32"/>
    <w:rsid w:val="007B484A"/>
    <w:rsid w:val="007B5C1C"/>
    <w:rsid w:val="007B7430"/>
    <w:rsid w:val="007B7C1D"/>
    <w:rsid w:val="007C13F4"/>
    <w:rsid w:val="007D001F"/>
    <w:rsid w:val="007D44E7"/>
    <w:rsid w:val="007E39C8"/>
    <w:rsid w:val="007E3B0B"/>
    <w:rsid w:val="007E44C4"/>
    <w:rsid w:val="007E60CC"/>
    <w:rsid w:val="007F341E"/>
    <w:rsid w:val="007F7FC1"/>
    <w:rsid w:val="00803FF8"/>
    <w:rsid w:val="008061CC"/>
    <w:rsid w:val="0080658B"/>
    <w:rsid w:val="0081132B"/>
    <w:rsid w:val="0082027A"/>
    <w:rsid w:val="00822D45"/>
    <w:rsid w:val="008310A7"/>
    <w:rsid w:val="00846FA1"/>
    <w:rsid w:val="00847FB4"/>
    <w:rsid w:val="00850670"/>
    <w:rsid w:val="00856042"/>
    <w:rsid w:val="0085791C"/>
    <w:rsid w:val="0085798E"/>
    <w:rsid w:val="008607F1"/>
    <w:rsid w:val="00872395"/>
    <w:rsid w:val="0088483A"/>
    <w:rsid w:val="00890DA7"/>
    <w:rsid w:val="008A2860"/>
    <w:rsid w:val="008A6060"/>
    <w:rsid w:val="008B6B6A"/>
    <w:rsid w:val="008B6EA9"/>
    <w:rsid w:val="008C0A3F"/>
    <w:rsid w:val="008C39B3"/>
    <w:rsid w:val="008C47BC"/>
    <w:rsid w:val="008D4404"/>
    <w:rsid w:val="008F0353"/>
    <w:rsid w:val="008F250D"/>
    <w:rsid w:val="008F5394"/>
    <w:rsid w:val="008F667D"/>
    <w:rsid w:val="00906B5A"/>
    <w:rsid w:val="00906D62"/>
    <w:rsid w:val="00906FC2"/>
    <w:rsid w:val="0091247D"/>
    <w:rsid w:val="00921C43"/>
    <w:rsid w:val="0092311E"/>
    <w:rsid w:val="00931A63"/>
    <w:rsid w:val="0093467A"/>
    <w:rsid w:val="00935E7C"/>
    <w:rsid w:val="00942586"/>
    <w:rsid w:val="0094571A"/>
    <w:rsid w:val="0094645B"/>
    <w:rsid w:val="0094737C"/>
    <w:rsid w:val="009507B6"/>
    <w:rsid w:val="00955E8A"/>
    <w:rsid w:val="009600F1"/>
    <w:rsid w:val="0096046F"/>
    <w:rsid w:val="00972CAE"/>
    <w:rsid w:val="00975397"/>
    <w:rsid w:val="00985BCD"/>
    <w:rsid w:val="00985C70"/>
    <w:rsid w:val="0099209E"/>
    <w:rsid w:val="009934A9"/>
    <w:rsid w:val="0099380F"/>
    <w:rsid w:val="00995E60"/>
    <w:rsid w:val="009A1E73"/>
    <w:rsid w:val="009A74AA"/>
    <w:rsid w:val="009B1FD9"/>
    <w:rsid w:val="009B38FA"/>
    <w:rsid w:val="009B4904"/>
    <w:rsid w:val="009C00D6"/>
    <w:rsid w:val="009C4AB0"/>
    <w:rsid w:val="009D3427"/>
    <w:rsid w:val="009D6E8B"/>
    <w:rsid w:val="009E7B62"/>
    <w:rsid w:val="009F2938"/>
    <w:rsid w:val="009F6365"/>
    <w:rsid w:val="009F79E9"/>
    <w:rsid w:val="009F7D43"/>
    <w:rsid w:val="00A0066F"/>
    <w:rsid w:val="00A0219B"/>
    <w:rsid w:val="00A04945"/>
    <w:rsid w:val="00A14A65"/>
    <w:rsid w:val="00A162B9"/>
    <w:rsid w:val="00A21901"/>
    <w:rsid w:val="00A2345A"/>
    <w:rsid w:val="00A27845"/>
    <w:rsid w:val="00A334DF"/>
    <w:rsid w:val="00A34437"/>
    <w:rsid w:val="00A413D4"/>
    <w:rsid w:val="00A4377E"/>
    <w:rsid w:val="00A4658E"/>
    <w:rsid w:val="00A50E0E"/>
    <w:rsid w:val="00A52186"/>
    <w:rsid w:val="00A52BF8"/>
    <w:rsid w:val="00A54A47"/>
    <w:rsid w:val="00A54A9A"/>
    <w:rsid w:val="00A57EC5"/>
    <w:rsid w:val="00A60E36"/>
    <w:rsid w:val="00A70373"/>
    <w:rsid w:val="00A707EB"/>
    <w:rsid w:val="00A73EB8"/>
    <w:rsid w:val="00A76430"/>
    <w:rsid w:val="00A76DA1"/>
    <w:rsid w:val="00A812A1"/>
    <w:rsid w:val="00A81727"/>
    <w:rsid w:val="00A82793"/>
    <w:rsid w:val="00A83CFD"/>
    <w:rsid w:val="00A840A8"/>
    <w:rsid w:val="00A860B8"/>
    <w:rsid w:val="00A90D17"/>
    <w:rsid w:val="00A96C6B"/>
    <w:rsid w:val="00AA5E01"/>
    <w:rsid w:val="00AA7DF0"/>
    <w:rsid w:val="00AB2336"/>
    <w:rsid w:val="00AB3727"/>
    <w:rsid w:val="00AB63C8"/>
    <w:rsid w:val="00AB6B66"/>
    <w:rsid w:val="00AC39EE"/>
    <w:rsid w:val="00AD0E36"/>
    <w:rsid w:val="00AD2205"/>
    <w:rsid w:val="00AD221A"/>
    <w:rsid w:val="00AD3DDF"/>
    <w:rsid w:val="00AD442B"/>
    <w:rsid w:val="00AD5183"/>
    <w:rsid w:val="00AD7851"/>
    <w:rsid w:val="00AE23E1"/>
    <w:rsid w:val="00AE30E1"/>
    <w:rsid w:val="00AE4AAB"/>
    <w:rsid w:val="00AF4EE0"/>
    <w:rsid w:val="00B042CC"/>
    <w:rsid w:val="00B05A66"/>
    <w:rsid w:val="00B1295C"/>
    <w:rsid w:val="00B22658"/>
    <w:rsid w:val="00B26E21"/>
    <w:rsid w:val="00B31052"/>
    <w:rsid w:val="00B3164C"/>
    <w:rsid w:val="00B437E0"/>
    <w:rsid w:val="00B5043D"/>
    <w:rsid w:val="00B5520D"/>
    <w:rsid w:val="00B56D1B"/>
    <w:rsid w:val="00B57252"/>
    <w:rsid w:val="00B62FEB"/>
    <w:rsid w:val="00B6407B"/>
    <w:rsid w:val="00B66970"/>
    <w:rsid w:val="00B67F5D"/>
    <w:rsid w:val="00B745E1"/>
    <w:rsid w:val="00B80407"/>
    <w:rsid w:val="00B804E1"/>
    <w:rsid w:val="00B82251"/>
    <w:rsid w:val="00BA2276"/>
    <w:rsid w:val="00BA2557"/>
    <w:rsid w:val="00BA27D9"/>
    <w:rsid w:val="00BA600E"/>
    <w:rsid w:val="00BB0003"/>
    <w:rsid w:val="00BB487B"/>
    <w:rsid w:val="00BB79EF"/>
    <w:rsid w:val="00BC344A"/>
    <w:rsid w:val="00BC35E4"/>
    <w:rsid w:val="00BC71CB"/>
    <w:rsid w:val="00BE40AC"/>
    <w:rsid w:val="00BF0357"/>
    <w:rsid w:val="00C01F74"/>
    <w:rsid w:val="00C03F78"/>
    <w:rsid w:val="00C15D04"/>
    <w:rsid w:val="00C2352E"/>
    <w:rsid w:val="00C320ED"/>
    <w:rsid w:val="00C344F5"/>
    <w:rsid w:val="00C40D43"/>
    <w:rsid w:val="00C47B5C"/>
    <w:rsid w:val="00C5029A"/>
    <w:rsid w:val="00C531F0"/>
    <w:rsid w:val="00C66182"/>
    <w:rsid w:val="00C67998"/>
    <w:rsid w:val="00C721E4"/>
    <w:rsid w:val="00C75F60"/>
    <w:rsid w:val="00C762C8"/>
    <w:rsid w:val="00C82D12"/>
    <w:rsid w:val="00C8406C"/>
    <w:rsid w:val="00C90831"/>
    <w:rsid w:val="00C9471D"/>
    <w:rsid w:val="00CB1910"/>
    <w:rsid w:val="00CB68E1"/>
    <w:rsid w:val="00CC280F"/>
    <w:rsid w:val="00CC6699"/>
    <w:rsid w:val="00CD2663"/>
    <w:rsid w:val="00CD5F74"/>
    <w:rsid w:val="00CF48BE"/>
    <w:rsid w:val="00CF7D83"/>
    <w:rsid w:val="00D02ED9"/>
    <w:rsid w:val="00D04241"/>
    <w:rsid w:val="00D05173"/>
    <w:rsid w:val="00D17043"/>
    <w:rsid w:val="00D223B9"/>
    <w:rsid w:val="00D2726A"/>
    <w:rsid w:val="00D335D1"/>
    <w:rsid w:val="00D345A8"/>
    <w:rsid w:val="00D353BC"/>
    <w:rsid w:val="00D36468"/>
    <w:rsid w:val="00D43299"/>
    <w:rsid w:val="00D51435"/>
    <w:rsid w:val="00D57ADA"/>
    <w:rsid w:val="00D63984"/>
    <w:rsid w:val="00D91343"/>
    <w:rsid w:val="00D924FB"/>
    <w:rsid w:val="00D9473D"/>
    <w:rsid w:val="00DA60AC"/>
    <w:rsid w:val="00DD63AE"/>
    <w:rsid w:val="00DD6ECC"/>
    <w:rsid w:val="00DE2B37"/>
    <w:rsid w:val="00DE7E71"/>
    <w:rsid w:val="00DF69E0"/>
    <w:rsid w:val="00E2704F"/>
    <w:rsid w:val="00E27981"/>
    <w:rsid w:val="00E32807"/>
    <w:rsid w:val="00E3427B"/>
    <w:rsid w:val="00E4070B"/>
    <w:rsid w:val="00E4565A"/>
    <w:rsid w:val="00E471A9"/>
    <w:rsid w:val="00E50582"/>
    <w:rsid w:val="00E511D5"/>
    <w:rsid w:val="00E651C8"/>
    <w:rsid w:val="00E65D88"/>
    <w:rsid w:val="00E679EF"/>
    <w:rsid w:val="00E73E21"/>
    <w:rsid w:val="00E8117C"/>
    <w:rsid w:val="00E812D2"/>
    <w:rsid w:val="00E83D07"/>
    <w:rsid w:val="00E84181"/>
    <w:rsid w:val="00E87C2E"/>
    <w:rsid w:val="00E935CB"/>
    <w:rsid w:val="00E93C5A"/>
    <w:rsid w:val="00E96CD0"/>
    <w:rsid w:val="00EA27A5"/>
    <w:rsid w:val="00EA3E0C"/>
    <w:rsid w:val="00EA5B19"/>
    <w:rsid w:val="00EA5D37"/>
    <w:rsid w:val="00EA69E0"/>
    <w:rsid w:val="00EB6B2F"/>
    <w:rsid w:val="00EC10F6"/>
    <w:rsid w:val="00EC5C02"/>
    <w:rsid w:val="00ED196A"/>
    <w:rsid w:val="00ED3CA2"/>
    <w:rsid w:val="00EF647C"/>
    <w:rsid w:val="00F0254B"/>
    <w:rsid w:val="00F05DD1"/>
    <w:rsid w:val="00F067B1"/>
    <w:rsid w:val="00F155CA"/>
    <w:rsid w:val="00F27272"/>
    <w:rsid w:val="00F40A79"/>
    <w:rsid w:val="00F43451"/>
    <w:rsid w:val="00F449C0"/>
    <w:rsid w:val="00F47E80"/>
    <w:rsid w:val="00F5447C"/>
    <w:rsid w:val="00F60962"/>
    <w:rsid w:val="00F61643"/>
    <w:rsid w:val="00F61CDA"/>
    <w:rsid w:val="00F63945"/>
    <w:rsid w:val="00F65CC1"/>
    <w:rsid w:val="00F66063"/>
    <w:rsid w:val="00F70152"/>
    <w:rsid w:val="00F711D1"/>
    <w:rsid w:val="00F723EF"/>
    <w:rsid w:val="00F731FE"/>
    <w:rsid w:val="00F776FF"/>
    <w:rsid w:val="00F77C05"/>
    <w:rsid w:val="00F83E91"/>
    <w:rsid w:val="00F866FA"/>
    <w:rsid w:val="00F87E57"/>
    <w:rsid w:val="00F903B1"/>
    <w:rsid w:val="00F92C36"/>
    <w:rsid w:val="00F94F30"/>
    <w:rsid w:val="00FA1678"/>
    <w:rsid w:val="00FA4DE7"/>
    <w:rsid w:val="00FA7206"/>
    <w:rsid w:val="00FB00B7"/>
    <w:rsid w:val="00FB37AA"/>
    <w:rsid w:val="00FB4F08"/>
    <w:rsid w:val="00FB7FFD"/>
    <w:rsid w:val="00FC0DBC"/>
    <w:rsid w:val="00FF18F6"/>
    <w:rsid w:val="00F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3D5B"/>
  <w15:chartTrackingRefBased/>
  <w15:docId w15:val="{0B3D7D51-9680-49C3-94C2-9817F83C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FE7"/>
  </w:style>
  <w:style w:type="paragraph" w:styleId="Footer">
    <w:name w:val="footer"/>
    <w:basedOn w:val="Normal"/>
    <w:link w:val="Foot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Bukhowa</dc:creator>
  <cp:keywords/>
  <dc:description/>
  <cp:lastModifiedBy>Bassam Bukhowa</cp:lastModifiedBy>
  <cp:revision>4</cp:revision>
  <dcterms:created xsi:type="dcterms:W3CDTF">2026-05-16T22:44:00Z</dcterms:created>
  <dcterms:modified xsi:type="dcterms:W3CDTF">2026-05-20T12:02:00Z</dcterms:modified>
</cp:coreProperties>
</file>