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The Central Bank Sandbox Pathway, and Bahrain's Licensed Firms</w:t>
      </w:r>
    </w:p>
    <w:p>
      <w:r>
        <w:rPr>
          <w:b/>
          <w:color w:val="1F4E79"/>
          <w:sz w:val="24"/>
        </w:rPr>
        <w:t>Your second reading: the argument itself, with guidance</w:t>
      </w:r>
    </w:p>
    <w:p>
      <w:r>
        <w:rPr>
          <w:i/>
          <w:color w:val="808080"/>
          <w:sz w:val="18"/>
        </w:rPr>
        <w:t>Week 5, Session 2</w:t>
      </w:r>
    </w:p>
    <w:p>
      <w:pPr>
        <w:spacing w:before="200" w:after="80"/>
      </w:pPr>
      <w:r>
        <w:rPr>
          <w:b/>
          <w:color w:val="1F4E79"/>
          <w:sz w:val="26"/>
        </w:rPr>
        <w:t>Why you are reading this</w:t>
      </w:r>
    </w:p>
    <w:p>
      <w:r>
        <w:rPr>
          <w:b w:val="0"/>
          <w:i w:val="0"/>
          <w:sz w:val="22"/>
        </w:rPr>
        <w:t>Knowing the pathway is how you advise a real project from idea to licensed activity in Bahrain.</w:t>
      </w:r>
    </w:p>
    <w:p>
      <w:pPr>
        <w:spacing w:before="200" w:after="80"/>
      </w:pPr>
      <w:r>
        <w:rPr>
          <w:b/>
          <w:color w:val="1F4E79"/>
          <w:sz w:val="26"/>
        </w:rPr>
        <w:t>The source</w:t>
      </w:r>
    </w:p>
    <w:p>
      <w:r>
        <w:rPr>
          <w:b w:val="0"/>
          <w:i/>
          <w:sz w:val="20"/>
        </w:rPr>
        <w:t>Central Bank of Bahrain (CBB) Regulatory Sandbox Framework + chapter CRA-2 of the Crypto-asset Module (CRA) (licence categories), primary CBB sources.</w:t>
      </w:r>
    </w:p>
    <w:p>
      <w:pPr>
        <w:spacing w:before="200" w:after="80"/>
      </w:pPr>
      <w:r>
        <w:rPr>
          <w:b/>
          <w:color w:val="1F4E79"/>
          <w:sz w:val="26"/>
        </w:rPr>
        <w:t>The core, in plain English</w:t>
      </w:r>
    </w:p>
    <w:p>
      <w:pPr>
        <w:spacing w:after="40"/>
        <w:ind w:left="432" w:hanging="216"/>
      </w:pPr>
      <w:r>
        <w:rPr>
          <w:sz w:val="22"/>
        </w:rPr>
        <w:t>•  The Sandbox is a supervised test route before full authorisation.</w:t>
      </w:r>
    </w:p>
    <w:p>
      <w:pPr>
        <w:spacing w:after="40"/>
        <w:ind w:left="432" w:hanging="216"/>
      </w:pPr>
      <w:r>
        <w:rPr>
          <w:sz w:val="22"/>
        </w:rPr>
        <w:t>•  Licence category determines which activities a firm may perform.</w:t>
      </w:r>
    </w:p>
    <w:p>
      <w:pPr>
        <w:spacing w:after="40"/>
        <w:ind w:left="432" w:hanging="216"/>
      </w:pPr>
      <w:r>
        <w:rPr>
          <w:sz w:val="22"/>
        </w:rPr>
        <w:t>•  An application must map cleanly to the governing CRA chapters.</w:t>
      </w:r>
    </w:p>
    <w:p>
      <w:pPr>
        <w:spacing w:before="200" w:after="80"/>
      </w:pPr>
      <w:r>
        <w:rPr>
          <w:b/>
          <w:color w:val="1F4E79"/>
          <w:sz w:val="26"/>
        </w:rPr>
        <w:t>Key facts you can use</w:t>
      </w:r>
    </w:p>
    <w:p>
      <w:pPr>
        <w:spacing w:after="40"/>
        <w:ind w:left="432" w:hanging="216"/>
      </w:pPr>
      <w:r>
        <w:rPr>
          <w:sz w:val="22"/>
        </w:rPr>
        <w:t>•  The CBB Sandbox is a supervised test route before full authorisation. The pathway runs in order. First, an eligibility check. Second, an application to the CBB FinTech and Innovation unit. Third, a period of testing under set conditions and limits, with regular reporting. Fourth, the exit, which is either a full licence, an extension of the test, or a stop.</w:t>
      </w:r>
    </w:p>
    <w:p>
      <w:pPr>
        <w:spacing w:after="40"/>
        <w:ind w:left="432" w:hanging="216"/>
      </w:pPr>
      <w:r>
        <w:rPr>
          <w:sz w:val="22"/>
        </w:rPr>
        <w:t>•  A crypto-asset exchange operator needs a Category 4 licence.</w:t>
      </w:r>
    </w:p>
    <w:p>
      <w:pPr>
        <w:spacing w:after="40"/>
        <w:ind w:left="432" w:hanging="216"/>
      </w:pPr>
      <w:r>
        <w:rPr>
          <w:sz w:val="22"/>
        </w:rPr>
        <w:t>•  Real Bahraini crypto licensees (for example Rain, CoinMENA, Binance Bahrain) show the categories in practice.</w:t>
      </w:r>
    </w:p>
    <w:p>
      <w:pPr>
        <w:spacing w:before="200" w:after="80"/>
      </w:pPr>
      <w:r>
        <w:rPr>
          <w:b/>
          <w:color w:val="1F4E79"/>
          <w:sz w:val="26"/>
        </w:rPr>
        <w:t>Worked example</w:t>
      </w:r>
    </w:p>
    <w:p>
      <w:r>
        <w:rPr>
          <w:b w:val="0"/>
          <w:i w:val="0"/>
          <w:sz w:val="22"/>
        </w:rPr>
        <w:t>Here is the sequence for a hypothetical exchange. It enters at the eligibility stage. It applies to the CBB. It then tests inside the Sandbox, with limits on how many customers it may serve and how much it may handle, and it reports as it goes. It finally exits to a full Category 4 licence. The riskiest stage is the Sandbox test itself. A firm that fails to meet the anti-money laundering (AML) conditions (CRA-7) and the custody conditions (CRA-8) there cannot go any further.</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Regulatory sandbox</w:t>
            </w:r>
          </w:p>
        </w:tc>
        <w:tc>
          <w:tcPr>
            <w:tcW w:type="dxa" w:w="6624"/>
            <w:tcBorders>
              <w:top w:val="single" w:sz="4" w:color="BFBFBF"/>
              <w:left w:val="single" w:sz="4" w:color="BFBFBF"/>
              <w:bottom w:val="single" w:sz="4" w:color="BFBFBF"/>
              <w:right w:val="single" w:sz="4" w:color="BFBFBF"/>
            </w:tcBorders>
          </w:tcPr>
          <w:p>
            <w:r/>
            <w:r>
              <w:rPr>
                <w:sz w:val="20"/>
              </w:rPr>
              <w:t>A space where a firm may test a new financial product with real customers. The regulator watches closely and sets limits on it. It comes before the firm applies for a full licence.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Supervision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regulator's ongoing oversight of a licensed firm. It checks that the firm keeps following the rules after approval, not only on the day it applied.</w:t>
            </w:r>
          </w:p>
        </w:tc>
      </w:tr>
      <w:tr>
        <w:tc>
          <w:tcPr>
            <w:tcW w:type="dxa" w:w="2880"/>
            <w:tcBorders>
              <w:top w:val="single" w:sz="4" w:color="BFBFBF"/>
              <w:left w:val="single" w:sz="4" w:color="BFBFBF"/>
              <w:bottom w:val="single" w:sz="4" w:color="BFBFBF"/>
              <w:right w:val="single" w:sz="4" w:color="BFBFBF"/>
            </w:tcBorders>
          </w:tcPr>
          <w:p>
            <w:r/>
            <w:r>
              <w:rPr>
                <w:sz w:val="20"/>
              </w:rPr>
              <w:t>Custody</w:t>
            </w:r>
          </w:p>
        </w:tc>
        <w:tc>
          <w:tcPr>
            <w:tcW w:type="dxa" w:w="6624"/>
            <w:tcBorders>
              <w:top w:val="single" w:sz="4" w:color="BFBFBF"/>
              <w:left w:val="single" w:sz="4" w:color="BFBFBF"/>
              <w:bottom w:val="single" w:sz="4" w:color="BFBFBF"/>
              <w:right w:val="single" w:sz="4" w:color="BFBFBF"/>
            </w:tcBorders>
          </w:tcPr>
          <w:p>
            <w:r/>
            <w:r>
              <w:rPr>
                <w:sz w:val="20"/>
              </w:rPr>
              <w:t>Who holds the secret keys, and so who actually controls the assets. Either you hold them yourself, or a licensed firm holds them for you.</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Pathway</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route a firm takes from an idea to a licence. It sets out which steps it must clear, in which order, and who approves each one.</w:t>
            </w:r>
          </w:p>
        </w:tc>
      </w:tr>
      <w:tr>
        <w:tc>
          <w:tcPr>
            <w:tcW w:type="dxa" w:w="2880"/>
            <w:tcBorders>
              <w:top w:val="single" w:sz="4" w:color="BFBFBF"/>
              <w:left w:val="single" w:sz="4" w:color="BFBFBF"/>
              <w:bottom w:val="single" w:sz="4" w:color="BFBFBF"/>
              <w:right w:val="single" w:sz="4" w:color="BFBFBF"/>
            </w:tcBorders>
          </w:tcPr>
          <w:p>
            <w:r/>
            <w:r>
              <w:rPr>
                <w:sz w:val="20"/>
              </w:rPr>
              <w:t>Sandbox</w:t>
            </w:r>
          </w:p>
        </w:tc>
        <w:tc>
          <w:tcPr>
            <w:tcW w:type="dxa" w:w="6624"/>
            <w:tcBorders>
              <w:top w:val="single" w:sz="4" w:color="BFBFBF"/>
              <w:left w:val="single" w:sz="4" w:color="BFBFBF"/>
              <w:bottom w:val="single" w:sz="4" w:color="BFBFBF"/>
              <w:right w:val="single" w:sz="4" w:color="BFBFBF"/>
            </w:tcBorders>
          </w:tcPr>
          <w:p>
            <w:r/>
            <w:r>
              <w:rPr>
                <w:sz w:val="20"/>
              </w:rPr>
              <w:t>supervised test environment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Category 4</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CBB crypto-asset licence for operating an exchange. Category 1 covers advice. Category 2 covers portfolio management and custody. Category 3 covers dealing, either as an agent or on the firm's own account</w:t>
            </w:r>
          </w:p>
        </w:tc>
      </w:tr>
      <w:tr>
        <w:tc>
          <w:tcPr>
            <w:tcW w:type="dxa" w:w="2880"/>
            <w:tcBorders>
              <w:top w:val="single" w:sz="4" w:color="BFBFBF"/>
              <w:left w:val="single" w:sz="4" w:color="BFBFBF"/>
              <w:bottom w:val="single" w:sz="4" w:color="BFBFBF"/>
              <w:right w:val="single" w:sz="4" w:color="BFBFBF"/>
            </w:tcBorders>
          </w:tcPr>
          <w:p>
            <w:r/>
            <w:r>
              <w:rPr>
                <w:sz w:val="20"/>
              </w:rPr>
              <w:t>Licensee</w:t>
            </w:r>
          </w:p>
        </w:tc>
        <w:tc>
          <w:tcPr>
            <w:tcW w:type="dxa" w:w="6624"/>
            <w:tcBorders>
              <w:top w:val="single" w:sz="4" w:color="BFBFBF"/>
              <w:left w:val="single" w:sz="4" w:color="BFBFBF"/>
              <w:bottom w:val="single" w:sz="4" w:color="BFBFBF"/>
              <w:right w:val="single" w:sz="4" w:color="BFBFBF"/>
            </w:tcBorders>
          </w:tcPr>
          <w:p>
            <w:r/>
            <w:r>
              <w:rPr>
                <w:sz w:val="20"/>
              </w:rPr>
              <w:t>an authorised firm</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Perimeter</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line between activity that needs a licence and activity that does not</w:t>
            </w:r>
          </w:p>
        </w:tc>
      </w:tr>
      <w:tr>
        <w:tc>
          <w:tcPr>
            <w:tcW w:type="dxa" w:w="2880"/>
            <w:tcBorders>
              <w:top w:val="single" w:sz="4" w:color="BFBFBF"/>
              <w:left w:val="single" w:sz="4" w:color="BFBFBF"/>
              <w:bottom w:val="single" w:sz="4" w:color="BFBFBF"/>
              <w:right w:val="single" w:sz="4" w:color="BFBFBF"/>
            </w:tcBorders>
          </w:tcPr>
          <w:p>
            <w:r/>
            <w:r>
              <w:rPr>
                <w:sz w:val="20"/>
              </w:rPr>
              <w:t>anti-money laundering (AML)</w:t>
            </w:r>
          </w:p>
        </w:tc>
        <w:tc>
          <w:tcPr>
            <w:tcW w:type="dxa" w:w="6624"/>
            <w:tcBorders>
              <w:top w:val="single" w:sz="4" w:color="BFBFBF"/>
              <w:left w:val="single" w:sz="4" w:color="BFBFBF"/>
              <w:bottom w:val="single" w:sz="4" w:color="BFBFBF"/>
              <w:right w:val="single" w:sz="4" w:color="BFBFBF"/>
            </w:tcBorders>
          </w:tcPr>
          <w:p>
            <w:r/>
            <w:r>
              <w:rPr>
                <w:sz w:val="20"/>
              </w:rPr>
              <w:t>rules that stop criminal money being passed off as legitimate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Central Bank of Bahrain (CBB)</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Bahrain's financial regulator; it decides who may run a financial business here</w:t>
            </w:r>
          </w:p>
        </w:tc>
      </w:tr>
      <w:tr>
        <w:tc>
          <w:tcPr>
            <w:tcW w:type="dxa" w:w="2880"/>
            <w:tcBorders>
              <w:top w:val="single" w:sz="4" w:color="BFBFBF"/>
              <w:left w:val="single" w:sz="4" w:color="BFBFBF"/>
              <w:bottom w:val="single" w:sz="4" w:color="BFBFBF"/>
              <w:right w:val="single" w:sz="4" w:color="BFBFBF"/>
            </w:tcBorders>
          </w:tcPr>
          <w:p>
            <w:r/>
            <w:r>
              <w:rPr>
                <w:sz w:val="20"/>
              </w:rPr>
              <w:t>Crypto-asset Module (CRA)</w:t>
            </w:r>
          </w:p>
        </w:tc>
        <w:tc>
          <w:tcPr>
            <w:tcW w:type="dxa" w:w="6624"/>
            <w:tcBorders>
              <w:top w:val="single" w:sz="4" w:color="BFBFBF"/>
              <w:left w:val="single" w:sz="4" w:color="BFBFBF"/>
              <w:bottom w:val="single" w:sz="4" w:color="BFBFBF"/>
              <w:right w:val="single" w:sz="4" w:color="BFBFBF"/>
            </w:tcBorders>
          </w:tcPr>
          <w:p>
            <w:r/>
            <w:r>
              <w:rPr>
                <w:sz w:val="20"/>
              </w:rPr>
              <w:t>the part of the Central Bank of Bahrain's rulebook that governs crypto-asset business</w:t>
            </w:r>
          </w:p>
        </w:tc>
      </w:tr>
    </w:tbl>
    <w:p>
      <w:pPr>
        <w:spacing w:before="200" w:after="80"/>
      </w:pPr>
      <w:r>
        <w:rPr>
          <w:b/>
          <w:color w:val="1F4E79"/>
          <w:sz w:val="26"/>
        </w:rPr>
        <w:t>Guiding questions (answer these in your worksheet)</w:t>
      </w:r>
    </w:p>
    <w:p>
      <w:pPr>
        <w:spacing w:after="40"/>
        <w:ind w:left="432" w:hanging="216"/>
      </w:pPr>
      <w:r>
        <w:rPr>
          <w:sz w:val="22"/>
        </w:rPr>
        <w:t>•  Where in the pathway does a hypothetical exchange first enter?</w:t>
      </w:r>
    </w:p>
    <w:p>
      <w:pPr>
        <w:spacing w:after="40"/>
        <w:ind w:left="432" w:hanging="216"/>
      </w:pPr>
      <w:r>
        <w:rPr>
          <w:sz w:val="22"/>
        </w:rPr>
        <w:t>•  Which licence category fits an exchange, and why?</w:t>
      </w:r>
    </w:p>
    <w:p>
      <w:pPr>
        <w:spacing w:after="40"/>
        <w:ind w:left="432" w:hanging="216"/>
      </w:pPr>
      <w:r>
        <w:rPr>
          <w:sz w:val="22"/>
        </w:rPr>
        <w:t>•  Which three obligations would you flag as highest-risk in the application?</w:t>
      </w:r>
    </w:p>
    <w:p>
      <w:pPr>
        <w:spacing w:before="200" w:after="80"/>
      </w:pPr>
      <w:r>
        <w:rPr>
          <w:b/>
          <w:color w:val="1F4E79"/>
          <w:sz w:val="26"/>
        </w:rPr>
        <w:t>What to extract</w:t>
      </w:r>
    </w:p>
    <w:p>
      <w:r>
        <w:rPr>
          <w:b w:val="0"/>
          <w:i w:val="0"/>
          <w:sz w:val="22"/>
        </w:rPr>
        <w:t>The ordered pathway steps, in one line each.</w:t>
      </w:r>
    </w:p>
    <w:p>
      <w:r>
        <w:rPr>
          <w:b w:val="0"/>
          <w:i/>
          <w:sz w:val="18"/>
        </w:rPr>
        <w:t>Sources: Central Bank of Bahrain. Regulatory Sandbox Framework and licensing pages (cbb.gov.bh).; Central Bank of Bahrain. CBB Rulebook Volume 6, Module CRA (licence categories, CRA-2).</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Week 5 Session 2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