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color w:val="1F4E79"/>
          <w:sz w:val="36"/>
        </w:rPr>
        <w:t>Structured Extract - Key Articles of Bahrain's Data Protection Law, and the Immutability Problem</w:t>
      </w:r>
    </w:p>
    <w:p>
      <w:r>
        <w:rPr>
          <w:b/>
          <w:color w:val="1F4E79"/>
          <w:sz w:val="24"/>
        </w:rPr>
        <w:t>Your second reading: the argument itself, with guidance</w:t>
      </w:r>
    </w:p>
    <w:p>
      <w:r>
        <w:rPr>
          <w:i/>
          <w:color w:val="808080"/>
          <w:sz w:val="18"/>
        </w:rPr>
        <w:t>Week 6, Session 1</w:t>
      </w:r>
    </w:p>
    <w:p>
      <w:pPr>
        <w:spacing w:before="200" w:after="80"/>
      </w:pPr>
      <w:r>
        <w:rPr>
          <w:b/>
          <w:color w:val="1F4E79"/>
          <w:sz w:val="26"/>
        </w:rPr>
        <w:t>Why you are reading this</w:t>
      </w:r>
    </w:p>
    <w:p>
      <w:r>
        <w:rPr>
          <w:b w:val="0"/>
          <w:i w:val="0"/>
          <w:sz w:val="22"/>
        </w:rPr>
        <w:t>The clash between an immutable ledger and the right to erasure is the single hardest compliance problem in the course.</w:t>
      </w:r>
    </w:p>
    <w:p>
      <w:pPr>
        <w:spacing w:before="200" w:after="80"/>
      </w:pPr>
      <w:r>
        <w:rPr>
          <w:b/>
          <w:color w:val="1F4E79"/>
          <w:sz w:val="26"/>
        </w:rPr>
        <w:t>The source</w:t>
      </w:r>
    </w:p>
    <w:p>
      <w:r>
        <w:rPr>
          <w:b w:val="0"/>
          <w:i/>
          <w:sz w:val="20"/>
        </w:rPr>
        <w:t>Finck (2019) Panel for the Future of Science and Technology (STOA) PE 634.445, sections 3-4, paired with the primary Personal Data Protection Law (PDPL) Article text.</w:t>
      </w:r>
    </w:p>
    <w:p>
      <w:pPr>
        <w:spacing w:before="200" w:after="80"/>
      </w:pPr>
      <w:r>
        <w:rPr>
          <w:b/>
          <w:color w:val="1F4E79"/>
          <w:sz w:val="26"/>
        </w:rPr>
        <w:t>The core, in plain English</w:t>
      </w:r>
    </w:p>
    <w:p>
      <w:pPr>
        <w:spacing w:after="40"/>
        <w:ind w:left="432" w:hanging="216"/>
      </w:pPr>
      <w:r>
        <w:rPr>
          <w:sz w:val="22"/>
        </w:rPr>
        <w:t>•  A blockchain's immutability conflicts with rectification/erasure rights (PDPL Article 23).</w:t>
      </w:r>
    </w:p>
    <w:p>
      <w:pPr>
        <w:spacing w:after="40"/>
        <w:ind w:left="432" w:hanging="216"/>
      </w:pPr>
      <w:r>
        <w:rPr>
          <w:sz w:val="22"/>
        </w:rPr>
        <w:t>•  Keeping personal data off-chain with only a hash on-chain is the primary mitigation.</w:t>
      </w:r>
    </w:p>
    <w:p>
      <w:pPr>
        <w:spacing w:after="40"/>
        <w:ind w:left="432" w:hanging="216"/>
      </w:pPr>
      <w:r>
        <w:rPr>
          <w:sz w:val="22"/>
        </w:rPr>
        <w:t>•  Every mitigation leaves a residual risk that must be stated, not hidden.</w:t>
      </w:r>
    </w:p>
    <w:p>
      <w:pPr>
        <w:spacing w:before="200" w:after="80"/>
      </w:pPr>
      <w:r>
        <w:rPr>
          <w:b/>
          <w:color w:val="1F4E79"/>
          <w:sz w:val="26"/>
        </w:rPr>
        <w:t>Key facts you can use</w:t>
      </w:r>
    </w:p>
    <w:p>
      <w:pPr>
        <w:spacing w:after="40"/>
        <w:ind w:left="432" w:hanging="216"/>
      </w:pPr>
      <w:r>
        <w:rPr>
          <w:sz w:val="22"/>
        </w:rPr>
        <w:t>•  PDPL Article 12: personal data may not be transferred outside Bahrain unless the destination country appears on the Personal Data Protection Authority's approved list, which the Law calls an adequacy list, or unless another lawful basis applies.</w:t>
      </w:r>
    </w:p>
    <w:p>
      <w:pPr>
        <w:spacing w:after="40"/>
        <w:ind w:left="432" w:hanging="216"/>
      </w:pPr>
      <w:r>
        <w:rPr>
          <w:sz w:val="22"/>
        </w:rPr>
        <w:t>•  PDPL Article 22: a person can object to a decision made solely by automated processing (for example automated credit scoring) and ask for human reconsideration.</w:t>
      </w:r>
    </w:p>
    <w:p>
      <w:pPr>
        <w:spacing w:after="40"/>
        <w:ind w:left="432" w:hanging="216"/>
      </w:pPr>
      <w:r>
        <w:rPr>
          <w:sz w:val="22"/>
        </w:rPr>
        <w:t>•  PDPL Article 23: a person can ask the data controller to rectify, block or erase their personal data; the controller must respond, free of charge, within the time limit the Law itself sets. Look up Article 23 in the text of Law No. 30 of 2018 and write down the exact number of days, so that you can quote the figure.</w:t>
      </w:r>
    </w:p>
    <w:p>
      <w:pPr>
        <w:spacing w:after="40"/>
        <w:ind w:left="432" w:hanging="216"/>
      </w:pPr>
      <w:r>
        <w:rPr>
          <w:sz w:val="22"/>
        </w:rPr>
        <w:t>•  PDPL Article 24: consent must be freely given and specific; it is the lawful basis most retail blockchain products rely on.</w:t>
      </w:r>
    </w:p>
    <w:p>
      <w:pPr>
        <w:spacing w:after="40"/>
        <w:ind w:left="432" w:hanging="216"/>
      </w:pPr>
      <w:r>
        <w:rPr>
          <w:sz w:val="22"/>
        </w:rPr>
        <w:t>•  Here is the tension. A public blockchain cannot delete or change a record once it is written. That clashes head-on with the Article 23 right to have personal data corrected or erased.</w:t>
      </w:r>
    </w:p>
    <w:p>
      <w:pPr>
        <w:spacing w:after="40"/>
        <w:ind w:left="432" w:hanging="216"/>
      </w:pPr>
      <w:r>
        <w:rPr>
          <w:sz w:val="22"/>
        </w:rPr>
        <w:t>•  Four responses are recognised. First, keep the personal data OFF the chain and put only a one-way hash on it. Second, crypto-shredding: encrypt the data, then delete the key, so what sits on the chain can no longer be read. Third, pseudonymisation, which means replacing names with codes. Fourth, a redactable or chameleon ledger, which can be edited under strict controls; this one is rare and technically advanced.</w:t>
      </w:r>
    </w:p>
    <w:p>
      <w:pPr>
        <w:spacing w:before="200" w:after="80"/>
      </w:pPr>
      <w:r>
        <w:rPr>
          <w:b/>
          <w:color w:val="1F4E79"/>
          <w:sz w:val="26"/>
        </w:rPr>
        <w:t>Worked example</w:t>
      </w:r>
    </w:p>
    <w:p>
      <w:r>
        <w:rPr>
          <w:b w:val="0"/>
          <w:i w:val="0"/>
          <w:sz w:val="22"/>
        </w:rPr>
        <w:t>A Bahraini bank puts a customer loyalty programme on a blockchain. To respect Article 23 (erasure) it keeps each customer's personal details OFF-chain in a normal database and writes only a one-way hash to the chain. If the customer asks to be erased, the bank deletes the off-chain record; the on-chain hash remains but can no longer be linked to any person. What this does NOT solve: the transaction pattern is still permanently visible on-chain, so the design must also minimise what is written in the first place.</w:t>
      </w:r>
    </w:p>
    <w:p>
      <w:pPr>
        <w:spacing w:before="200" w:after="80"/>
      </w:pPr>
      <w:r>
        <w:rPr>
          <w:b/>
          <w:color w:val="1F4E79"/>
          <w:sz w:val="26"/>
        </w:rPr>
        <w:t>Words to know</w:t>
      </w:r>
    </w:p>
    <w:tbl>
      <w:tblPr>
        <w:tblW w:type="auto" w:w="0"/>
        <w:tblLayout w:type="autofit"/>
        <w:tblLook w:firstColumn="1" w:firstRow="1" w:lastColumn="0" w:lastRow="0" w:noHBand="0" w:noVBand="1" w:val="04A0"/>
      </w:tblPr>
      <w:tblGrid>
        <w:gridCol w:w="4680"/>
        <w:gridCol w:w="4680"/>
      </w:tblGrid>
      <w:tr>
        <w:tc>
          <w:tcPr>
            <w:tcW w:type="dxa" w:w="2880"/>
            <w:tcBorders>
              <w:top w:val="single" w:sz="4" w:color="BFBFBF"/>
              <w:left w:val="single" w:sz="4" w:color="BFBFBF"/>
              <w:bottom w:val="single" w:sz="4" w:color="BFBFBF"/>
              <w:right w:val="single" w:sz="4" w:color="BFBFBF"/>
            </w:tcBorders>
            <w:shd w:val="clear" w:color="auto" w:fill="1F4E79"/>
          </w:tcPr>
          <w:p>
            <w:r/>
            <w:r>
              <w:rPr>
                <w:b/>
                <w:color w:val="FFFFFF"/>
                <w:sz w:val="20"/>
              </w:rPr>
              <w:t>Term</w:t>
            </w:r>
          </w:p>
        </w:tc>
        <w:tc>
          <w:tcPr>
            <w:tcW w:type="dxa" w:w="6624"/>
            <w:tcBorders>
              <w:top w:val="single" w:sz="4" w:color="BFBFBF"/>
              <w:left w:val="single" w:sz="4" w:color="BFBFBF"/>
              <w:bottom w:val="single" w:sz="4" w:color="BFBFBF"/>
              <w:right w:val="single" w:sz="4" w:color="BFBFBF"/>
            </w:tcBorders>
            <w:shd w:val="clear" w:color="auto" w:fill="1F4E79"/>
          </w:tcPr>
          <w:p>
            <w:r/>
            <w:r>
              <w:rPr>
                <w:b/>
                <w:color w:val="FFFFFF"/>
                <w:sz w:val="20"/>
              </w:rPr>
              <w:t>Plain meaning</w:t>
            </w:r>
          </w:p>
        </w:tc>
      </w:tr>
      <w:tr>
        <w:tc>
          <w:tcPr>
            <w:tcW w:type="dxa" w:w="2880"/>
            <w:tcBorders>
              <w:top w:val="single" w:sz="4" w:color="BFBFBF"/>
              <w:left w:val="single" w:sz="4" w:color="BFBFBF"/>
              <w:bottom w:val="single" w:sz="4" w:color="BFBFBF"/>
              <w:right w:val="single" w:sz="4" w:color="BFBFBF"/>
            </w:tcBorders>
          </w:tcPr>
          <w:p>
            <w:r/>
            <w:r>
              <w:rPr>
                <w:sz w:val="20"/>
              </w:rPr>
              <w:t>Ledger</w:t>
            </w:r>
          </w:p>
        </w:tc>
        <w:tc>
          <w:tcPr>
            <w:tcW w:type="dxa" w:w="6624"/>
            <w:tcBorders>
              <w:top w:val="single" w:sz="4" w:color="BFBFBF"/>
              <w:left w:val="single" w:sz="4" w:color="BFBFBF"/>
              <w:bottom w:val="single" w:sz="4" w:color="BFBFBF"/>
              <w:right w:val="single" w:sz="4" w:color="BFBFBF"/>
            </w:tcBorders>
          </w:tcPr>
          <w:p>
            <w:r/>
            <w:r>
              <w:rPr>
                <w:sz w:val="20"/>
              </w:rPr>
              <w:t>A record book. It lists who owns what, and every change that has been made to it.</w:t>
            </w:r>
          </w:p>
        </w:tc>
      </w:tr>
      <w:tr>
        <w:tc>
          <w:tcPr>
            <w:tcW w:type="dxa" w:w="2880"/>
            <w:tcBorders>
              <w:top w:val="single" w:sz="4" w:color="BFBFBF"/>
              <w:left w:val="single" w:sz="4" w:color="BFBFBF"/>
              <w:bottom w:val="single" w:sz="4" w:color="BFBFBF"/>
              <w:right w:val="single" w:sz="4" w:color="BFBFBF"/>
            </w:tcBorders>
            <w:shd w:val="clear" w:color="auto" w:fill="F2F2F2"/>
          </w:tcPr>
          <w:p>
            <w:r/>
            <w:r>
              <w:rPr>
                <w:sz w:val="20"/>
              </w:rPr>
              <w:t>Transaction</w:t>
            </w:r>
          </w:p>
        </w:tc>
        <w:tc>
          <w:tcPr>
            <w:tcW w:type="dxa" w:w="6624"/>
            <w:tcBorders>
              <w:top w:val="single" w:sz="4" w:color="BFBFBF"/>
              <w:left w:val="single" w:sz="4" w:color="BFBFBF"/>
              <w:bottom w:val="single" w:sz="4" w:color="BFBFBF"/>
              <w:right w:val="single" w:sz="4" w:color="BFBFBF"/>
            </w:tcBorders>
            <w:shd w:val="clear" w:color="auto" w:fill="F2F2F2"/>
          </w:tcPr>
          <w:p>
            <w:r/>
            <w:r>
              <w:rPr>
                <w:sz w:val="20"/>
              </w:rPr>
              <w:t>One instruction to move value from one holder to another, and the record of that move.</w:t>
            </w:r>
          </w:p>
        </w:tc>
      </w:tr>
      <w:tr>
        <w:tc>
          <w:tcPr>
            <w:tcW w:type="dxa" w:w="2880"/>
            <w:tcBorders>
              <w:top w:val="single" w:sz="4" w:color="BFBFBF"/>
              <w:left w:val="single" w:sz="4" w:color="BFBFBF"/>
              <w:bottom w:val="single" w:sz="4" w:color="BFBFBF"/>
              <w:right w:val="single" w:sz="4" w:color="BFBFBF"/>
            </w:tcBorders>
          </w:tcPr>
          <w:p>
            <w:r/>
            <w:r>
              <w:rPr>
                <w:sz w:val="20"/>
              </w:rPr>
              <w:t>Block</w:t>
            </w:r>
          </w:p>
        </w:tc>
        <w:tc>
          <w:tcPr>
            <w:tcW w:type="dxa" w:w="6624"/>
            <w:tcBorders>
              <w:top w:val="single" w:sz="4" w:color="BFBFBF"/>
              <w:left w:val="single" w:sz="4" w:color="BFBFBF"/>
              <w:bottom w:val="single" w:sz="4" w:color="BFBFBF"/>
              <w:right w:val="single" w:sz="4" w:color="BFBFBF"/>
            </w:tcBorders>
          </w:tcPr>
          <w:p>
            <w:r/>
            <w:r>
              <w:rPr>
                <w:sz w:val="20"/>
              </w:rPr>
              <w:t>A batch of transactions added to the record book in one go. Each block is locked to the block that came before it.</w:t>
            </w:r>
          </w:p>
        </w:tc>
      </w:tr>
      <w:tr>
        <w:tc>
          <w:tcPr>
            <w:tcW w:type="dxa" w:w="2880"/>
            <w:tcBorders>
              <w:top w:val="single" w:sz="4" w:color="BFBFBF"/>
              <w:left w:val="single" w:sz="4" w:color="BFBFBF"/>
              <w:bottom w:val="single" w:sz="4" w:color="BFBFBF"/>
              <w:right w:val="single" w:sz="4" w:color="BFBFBF"/>
            </w:tcBorders>
            <w:shd w:val="clear" w:color="auto" w:fill="F2F2F2"/>
          </w:tcPr>
          <w:p>
            <w:r/>
            <w:r>
              <w:rPr>
                <w:sz w:val="20"/>
              </w:rPr>
              <w:t>Blockchain</w:t>
            </w:r>
          </w:p>
        </w:tc>
        <w:tc>
          <w:tcPr>
            <w:tcW w:type="dxa" w:w="6624"/>
            <w:tcBorders>
              <w:top w:val="single" w:sz="4" w:color="BFBFBF"/>
              <w:left w:val="single" w:sz="4" w:color="BFBFBF"/>
              <w:bottom w:val="single" w:sz="4" w:color="BFBFBF"/>
              <w:right w:val="single" w:sz="4" w:color="BFBFBF"/>
            </w:tcBorders>
            <w:shd w:val="clear" w:color="auto" w:fill="F2F2F2"/>
          </w:tcPr>
          <w:p>
            <w:r/>
            <w:r>
              <w:rPr>
                <w:sz w:val="20"/>
              </w:rPr>
              <w:t>A shared record book that many computers keep a copy of at the same time. New entries are added in batches called blocks. Each batch is locked to the one before it. No single owner can quietly change an entry that is already in.</w:t>
            </w:r>
          </w:p>
        </w:tc>
      </w:tr>
      <w:tr>
        <w:tc>
          <w:tcPr>
            <w:tcW w:type="dxa" w:w="2880"/>
            <w:tcBorders>
              <w:top w:val="single" w:sz="4" w:color="BFBFBF"/>
              <w:left w:val="single" w:sz="4" w:color="BFBFBF"/>
              <w:bottom w:val="single" w:sz="4" w:color="BFBFBF"/>
              <w:right w:val="single" w:sz="4" w:color="BFBFBF"/>
            </w:tcBorders>
          </w:tcPr>
          <w:p>
            <w:r/>
            <w:r>
              <w:rPr>
                <w:sz w:val="20"/>
              </w:rPr>
              <w:t>Token</w:t>
            </w:r>
          </w:p>
        </w:tc>
        <w:tc>
          <w:tcPr>
            <w:tcW w:type="dxa" w:w="6624"/>
            <w:tcBorders>
              <w:top w:val="single" w:sz="4" w:color="BFBFBF"/>
              <w:left w:val="single" w:sz="4" w:color="BFBFBF"/>
              <w:bottom w:val="single" w:sz="4" w:color="BFBFBF"/>
              <w:right w:val="single" w:sz="4" w:color="BFBFBF"/>
            </w:tcBorders>
          </w:tcPr>
          <w:p>
            <w:r/>
            <w:r>
              <w:rPr>
                <w:sz w:val="20"/>
              </w:rPr>
              <w:t>A unit of value or of ownership recorded on a blockchain. It can stand for money, for a share in an asset, or for a right to use something.</w:t>
            </w:r>
          </w:p>
        </w:tc>
      </w:tr>
      <w:tr>
        <w:tc>
          <w:tcPr>
            <w:tcW w:type="dxa" w:w="2880"/>
            <w:tcBorders>
              <w:top w:val="single" w:sz="4" w:color="BFBFBF"/>
              <w:left w:val="single" w:sz="4" w:color="BFBFBF"/>
              <w:bottom w:val="single" w:sz="4" w:color="BFBFBF"/>
              <w:right w:val="single" w:sz="4" w:color="BFBFBF"/>
            </w:tcBorders>
            <w:shd w:val="clear" w:color="auto" w:fill="F2F2F2"/>
          </w:tcPr>
          <w:p>
            <w:r/>
            <w:r>
              <w:rPr>
                <w:sz w:val="20"/>
              </w:rPr>
              <w:t>Pseudonymity</w:t>
            </w:r>
          </w:p>
        </w:tc>
        <w:tc>
          <w:tcPr>
            <w:tcW w:type="dxa" w:w="6624"/>
            <w:tcBorders>
              <w:top w:val="single" w:sz="4" w:color="BFBFBF"/>
              <w:left w:val="single" w:sz="4" w:color="BFBFBF"/>
              <w:bottom w:val="single" w:sz="4" w:color="BFBFBF"/>
              <w:right w:val="single" w:sz="4" w:color="BFBFBF"/>
            </w:tcBorders>
            <w:shd w:val="clear" w:color="auto" w:fill="F2F2F2"/>
          </w:tcPr>
          <w:p>
            <w:r/>
            <w:r>
              <w:rPr>
                <w:sz w:val="20"/>
              </w:rPr>
              <w:t>Being identified by a code rather than by a name. What was done is public; who did it is not.</w:t>
            </w:r>
          </w:p>
        </w:tc>
      </w:tr>
      <w:tr>
        <w:tc>
          <w:tcPr>
            <w:tcW w:type="dxa" w:w="2880"/>
            <w:tcBorders>
              <w:top w:val="single" w:sz="4" w:color="BFBFBF"/>
              <w:left w:val="single" w:sz="4" w:color="BFBFBF"/>
              <w:bottom w:val="single" w:sz="4" w:color="BFBFBF"/>
              <w:right w:val="single" w:sz="4" w:color="BFBFBF"/>
            </w:tcBorders>
          </w:tcPr>
          <w:p>
            <w:r/>
            <w:r>
              <w:rPr>
                <w:sz w:val="20"/>
              </w:rPr>
              <w:t>Off-chain</w:t>
            </w:r>
          </w:p>
        </w:tc>
        <w:tc>
          <w:tcPr>
            <w:tcW w:type="dxa" w:w="6624"/>
            <w:tcBorders>
              <w:top w:val="single" w:sz="4" w:color="BFBFBF"/>
              <w:left w:val="single" w:sz="4" w:color="BFBFBF"/>
              <w:bottom w:val="single" w:sz="4" w:color="BFBFBF"/>
              <w:right w:val="single" w:sz="4" w:color="BFBFBF"/>
            </w:tcBorders>
          </w:tcPr>
          <w:p>
            <w:r/>
            <w:r>
              <w:rPr>
                <w:sz w:val="20"/>
              </w:rPr>
              <w:t>Kept or done outside the blockchain record, such as a customer's identity documents held in a firm's own files.</w:t>
            </w:r>
          </w:p>
        </w:tc>
      </w:tr>
      <w:tr>
        <w:tc>
          <w:tcPr>
            <w:tcW w:type="dxa" w:w="2880"/>
            <w:tcBorders>
              <w:top w:val="single" w:sz="4" w:color="BFBFBF"/>
              <w:left w:val="single" w:sz="4" w:color="BFBFBF"/>
              <w:bottom w:val="single" w:sz="4" w:color="BFBFBF"/>
              <w:right w:val="single" w:sz="4" w:color="BFBFBF"/>
            </w:tcBorders>
            <w:shd w:val="clear" w:color="auto" w:fill="F2F2F2"/>
          </w:tcPr>
          <w:p>
            <w:r/>
            <w:r>
              <w:rPr>
                <w:sz w:val="20"/>
              </w:rPr>
              <w:t>On-chain</w:t>
            </w:r>
          </w:p>
        </w:tc>
        <w:tc>
          <w:tcPr>
            <w:tcW w:type="dxa" w:w="6624"/>
            <w:tcBorders>
              <w:top w:val="single" w:sz="4" w:color="BFBFBF"/>
              <w:left w:val="single" w:sz="4" w:color="BFBFBF"/>
              <w:bottom w:val="single" w:sz="4" w:color="BFBFBF"/>
              <w:right w:val="single" w:sz="4" w:color="BFBFBF"/>
            </w:tcBorders>
            <w:shd w:val="clear" w:color="auto" w:fill="F2F2F2"/>
          </w:tcPr>
          <w:p>
            <w:r/>
            <w:r>
              <w:rPr>
                <w:sz w:val="20"/>
              </w:rPr>
              <w:t>Recorded on the blockchain itself, so anyone with access can see it and nobody can quietly change it.</w:t>
            </w:r>
          </w:p>
        </w:tc>
      </w:tr>
      <w:tr>
        <w:tc>
          <w:tcPr>
            <w:tcW w:type="dxa" w:w="2880"/>
            <w:tcBorders>
              <w:top w:val="single" w:sz="4" w:color="BFBFBF"/>
              <w:left w:val="single" w:sz="4" w:color="BFBFBF"/>
              <w:bottom w:val="single" w:sz="4" w:color="BFBFBF"/>
              <w:right w:val="single" w:sz="4" w:color="BFBFBF"/>
            </w:tcBorders>
          </w:tcPr>
          <w:p>
            <w:r/>
            <w:r>
              <w:rPr>
                <w:sz w:val="20"/>
              </w:rPr>
              <w:t>Mitigation</w:t>
            </w:r>
          </w:p>
        </w:tc>
        <w:tc>
          <w:tcPr>
            <w:tcW w:type="dxa" w:w="6624"/>
            <w:tcBorders>
              <w:top w:val="single" w:sz="4" w:color="BFBFBF"/>
              <w:left w:val="single" w:sz="4" w:color="BFBFBF"/>
              <w:bottom w:val="single" w:sz="4" w:color="BFBFBF"/>
              <w:right w:val="single" w:sz="4" w:color="BFBFBF"/>
            </w:tcBorders>
          </w:tcPr>
          <w:p>
            <w:r/>
            <w:r>
              <w:rPr>
                <w:sz w:val="20"/>
              </w:rPr>
              <w:t>A specific action taken to make a risk less likely to happen, or less damaging if it does.</w:t>
            </w:r>
          </w:p>
        </w:tc>
      </w:tr>
      <w:tr>
        <w:tc>
          <w:tcPr>
            <w:tcW w:type="dxa" w:w="2880"/>
            <w:tcBorders>
              <w:top w:val="single" w:sz="4" w:color="BFBFBF"/>
              <w:left w:val="single" w:sz="4" w:color="BFBFBF"/>
              <w:bottom w:val="single" w:sz="4" w:color="BFBFBF"/>
              <w:right w:val="single" w:sz="4" w:color="BFBFBF"/>
            </w:tcBorders>
            <w:shd w:val="clear" w:color="auto" w:fill="F2F2F2"/>
          </w:tcPr>
          <w:p>
            <w:r/>
            <w:r>
              <w:rPr>
                <w:sz w:val="20"/>
              </w:rPr>
              <w:t>Data controller</w:t>
            </w:r>
          </w:p>
        </w:tc>
        <w:tc>
          <w:tcPr>
            <w:tcW w:type="dxa" w:w="6624"/>
            <w:tcBorders>
              <w:top w:val="single" w:sz="4" w:color="BFBFBF"/>
              <w:left w:val="single" w:sz="4" w:color="BFBFBF"/>
              <w:bottom w:val="single" w:sz="4" w:color="BFBFBF"/>
              <w:right w:val="single" w:sz="4" w:color="BFBFBF"/>
            </w:tcBorders>
            <w:shd w:val="clear" w:color="auto" w:fill="F2F2F2"/>
          </w:tcPr>
          <w:p>
            <w:r/>
            <w:r>
              <w:rPr>
                <w:sz w:val="20"/>
              </w:rPr>
              <w:t>The organisation that decides why and how personal data is collected and used. The law puts the duties on this organisation.</w:t>
            </w:r>
          </w:p>
        </w:tc>
      </w:tr>
      <w:tr>
        <w:tc>
          <w:tcPr>
            <w:tcW w:type="dxa" w:w="2880"/>
            <w:tcBorders>
              <w:top w:val="single" w:sz="4" w:color="BFBFBF"/>
              <w:left w:val="single" w:sz="4" w:color="BFBFBF"/>
              <w:bottom w:val="single" w:sz="4" w:color="BFBFBF"/>
              <w:right w:val="single" w:sz="4" w:color="BFBFBF"/>
            </w:tcBorders>
          </w:tcPr>
          <w:p>
            <w:r/>
            <w:r>
              <w:rPr>
                <w:sz w:val="20"/>
              </w:rPr>
              <w:t>Residual risk</w:t>
            </w:r>
          </w:p>
        </w:tc>
        <w:tc>
          <w:tcPr>
            <w:tcW w:type="dxa" w:w="6624"/>
            <w:tcBorders>
              <w:top w:val="single" w:sz="4" w:color="BFBFBF"/>
              <w:left w:val="single" w:sz="4" w:color="BFBFBF"/>
              <w:bottom w:val="single" w:sz="4" w:color="BFBFBF"/>
              <w:right w:val="single" w:sz="4" w:color="BFBFBF"/>
            </w:tcBorders>
          </w:tcPr>
          <w:p>
            <w:r/>
            <w:r>
              <w:rPr>
                <w:sz w:val="20"/>
              </w:rPr>
              <w:t>The risk that is still left after you have put your mitigation in place. It is never zero, and naming it honestly is the point.</w:t>
            </w:r>
          </w:p>
        </w:tc>
      </w:tr>
      <w:tr>
        <w:tc>
          <w:tcPr>
            <w:tcW w:type="dxa" w:w="2880"/>
            <w:tcBorders>
              <w:top w:val="single" w:sz="4" w:color="BFBFBF"/>
              <w:left w:val="single" w:sz="4" w:color="BFBFBF"/>
              <w:bottom w:val="single" w:sz="4" w:color="BFBFBF"/>
              <w:right w:val="single" w:sz="4" w:color="BFBFBF"/>
            </w:tcBorders>
            <w:shd w:val="clear" w:color="auto" w:fill="F2F2F2"/>
          </w:tcPr>
          <w:p>
            <w:r/>
            <w:r>
              <w:rPr>
                <w:sz w:val="20"/>
              </w:rPr>
              <w:t>Immutability</w:t>
            </w:r>
          </w:p>
        </w:tc>
        <w:tc>
          <w:tcPr>
            <w:tcW w:type="dxa" w:w="6624"/>
            <w:tcBorders>
              <w:top w:val="single" w:sz="4" w:color="BFBFBF"/>
              <w:left w:val="single" w:sz="4" w:color="BFBFBF"/>
              <w:bottom w:val="single" w:sz="4" w:color="BFBFBF"/>
              <w:right w:val="single" w:sz="4" w:color="BFBFBF"/>
            </w:tcBorders>
            <w:shd w:val="clear" w:color="auto" w:fill="F2F2F2"/>
          </w:tcPr>
          <w:p>
            <w:r/>
            <w:r>
              <w:rPr>
                <w:sz w:val="20"/>
              </w:rPr>
              <w:t>records cannot be altered</w:t>
            </w:r>
          </w:p>
        </w:tc>
      </w:tr>
      <w:tr>
        <w:tc>
          <w:tcPr>
            <w:tcW w:type="dxa" w:w="2880"/>
            <w:tcBorders>
              <w:top w:val="single" w:sz="4" w:color="BFBFBF"/>
              <w:left w:val="single" w:sz="4" w:color="BFBFBF"/>
              <w:bottom w:val="single" w:sz="4" w:color="BFBFBF"/>
              <w:right w:val="single" w:sz="4" w:color="BFBFBF"/>
            </w:tcBorders>
          </w:tcPr>
          <w:p>
            <w:r/>
            <w:r>
              <w:rPr>
                <w:sz w:val="20"/>
              </w:rPr>
              <w:t>Erasure</w:t>
            </w:r>
          </w:p>
        </w:tc>
        <w:tc>
          <w:tcPr>
            <w:tcW w:type="dxa" w:w="6624"/>
            <w:tcBorders>
              <w:top w:val="single" w:sz="4" w:color="BFBFBF"/>
              <w:left w:val="single" w:sz="4" w:color="BFBFBF"/>
              <w:bottom w:val="single" w:sz="4" w:color="BFBFBF"/>
              <w:right w:val="single" w:sz="4" w:color="BFBFBF"/>
            </w:tcBorders>
          </w:tcPr>
          <w:p>
            <w:r/>
            <w:r>
              <w:rPr>
                <w:sz w:val="20"/>
              </w:rPr>
              <w:t>the right to have data deleted</w:t>
            </w:r>
          </w:p>
        </w:tc>
      </w:tr>
      <w:tr>
        <w:tc>
          <w:tcPr>
            <w:tcW w:type="dxa" w:w="2880"/>
            <w:tcBorders>
              <w:top w:val="single" w:sz="4" w:color="BFBFBF"/>
              <w:left w:val="single" w:sz="4" w:color="BFBFBF"/>
              <w:bottom w:val="single" w:sz="4" w:color="BFBFBF"/>
              <w:right w:val="single" w:sz="4" w:color="BFBFBF"/>
            </w:tcBorders>
            <w:shd w:val="clear" w:color="auto" w:fill="F2F2F2"/>
          </w:tcPr>
          <w:p>
            <w:r/>
            <w:r>
              <w:rPr>
                <w:sz w:val="20"/>
              </w:rPr>
              <w:t>Crypto-shredding</w:t>
            </w:r>
          </w:p>
        </w:tc>
        <w:tc>
          <w:tcPr>
            <w:tcW w:type="dxa" w:w="6624"/>
            <w:tcBorders>
              <w:top w:val="single" w:sz="4" w:color="BFBFBF"/>
              <w:left w:val="single" w:sz="4" w:color="BFBFBF"/>
              <w:bottom w:val="single" w:sz="4" w:color="BFBFBF"/>
              <w:right w:val="single" w:sz="4" w:color="BFBFBF"/>
            </w:tcBorders>
            <w:shd w:val="clear" w:color="auto" w:fill="F2F2F2"/>
          </w:tcPr>
          <w:p>
            <w:r/>
            <w:r>
              <w:rPr>
                <w:sz w:val="20"/>
              </w:rPr>
              <w:t>destroying keys to render data unreadable</w:t>
            </w:r>
          </w:p>
        </w:tc>
      </w:tr>
      <w:tr>
        <w:tc>
          <w:tcPr>
            <w:tcW w:type="dxa" w:w="2880"/>
            <w:tcBorders>
              <w:top w:val="single" w:sz="4" w:color="BFBFBF"/>
              <w:left w:val="single" w:sz="4" w:color="BFBFBF"/>
              <w:bottom w:val="single" w:sz="4" w:color="BFBFBF"/>
              <w:right w:val="single" w:sz="4" w:color="BFBFBF"/>
            </w:tcBorders>
          </w:tcPr>
          <w:p>
            <w:r/>
            <w:r>
              <w:rPr>
                <w:sz w:val="20"/>
              </w:rPr>
              <w:t>Pseudonymisation</w:t>
            </w:r>
          </w:p>
        </w:tc>
        <w:tc>
          <w:tcPr>
            <w:tcW w:type="dxa" w:w="6624"/>
            <w:tcBorders>
              <w:top w:val="single" w:sz="4" w:color="BFBFBF"/>
              <w:left w:val="single" w:sz="4" w:color="BFBFBF"/>
              <w:bottom w:val="single" w:sz="4" w:color="BFBFBF"/>
              <w:right w:val="single" w:sz="4" w:color="BFBFBF"/>
            </w:tcBorders>
          </w:tcPr>
          <w:p>
            <w:r/>
            <w:r>
              <w:rPr>
                <w:sz w:val="20"/>
              </w:rPr>
              <w:t>replacing identifiers with tokens</w:t>
            </w:r>
          </w:p>
        </w:tc>
      </w:tr>
      <w:tr>
        <w:tc>
          <w:tcPr>
            <w:tcW w:type="dxa" w:w="2880"/>
            <w:tcBorders>
              <w:top w:val="single" w:sz="4" w:color="BFBFBF"/>
              <w:left w:val="single" w:sz="4" w:color="BFBFBF"/>
              <w:bottom w:val="single" w:sz="4" w:color="BFBFBF"/>
              <w:right w:val="single" w:sz="4" w:color="BFBFBF"/>
            </w:tcBorders>
            <w:shd w:val="clear" w:color="auto" w:fill="F2F2F2"/>
          </w:tcPr>
          <w:p>
            <w:r/>
            <w:r>
              <w:rPr>
                <w:sz w:val="20"/>
              </w:rPr>
              <w:t>Personal Data Protection Law (PDPL)</w:t>
            </w:r>
          </w:p>
        </w:tc>
        <w:tc>
          <w:tcPr>
            <w:tcW w:type="dxa" w:w="6624"/>
            <w:tcBorders>
              <w:top w:val="single" w:sz="4" w:color="BFBFBF"/>
              <w:left w:val="single" w:sz="4" w:color="BFBFBF"/>
              <w:bottom w:val="single" w:sz="4" w:color="BFBFBF"/>
              <w:right w:val="single" w:sz="4" w:color="BFBFBF"/>
            </w:tcBorders>
            <w:shd w:val="clear" w:color="auto" w:fill="F2F2F2"/>
          </w:tcPr>
          <w:p>
            <w:r/>
            <w:r>
              <w:rPr>
                <w:sz w:val="20"/>
              </w:rPr>
              <w:t>Bahrain's law on how personal information may be collected and used</w:t>
            </w:r>
          </w:p>
        </w:tc>
      </w:tr>
      <w:tr>
        <w:tc>
          <w:tcPr>
            <w:tcW w:type="dxa" w:w="2880"/>
            <w:tcBorders>
              <w:top w:val="single" w:sz="4" w:color="BFBFBF"/>
              <w:left w:val="single" w:sz="4" w:color="BFBFBF"/>
              <w:bottom w:val="single" w:sz="4" w:color="BFBFBF"/>
              <w:right w:val="single" w:sz="4" w:color="BFBFBF"/>
            </w:tcBorders>
          </w:tcPr>
          <w:p>
            <w:r/>
            <w:r>
              <w:rPr>
                <w:sz w:val="20"/>
              </w:rPr>
              <w:t>Panel for the Future of Science and Technology (STOA)</w:t>
            </w:r>
          </w:p>
        </w:tc>
        <w:tc>
          <w:tcPr>
            <w:tcW w:type="dxa" w:w="6624"/>
            <w:tcBorders>
              <w:top w:val="single" w:sz="4" w:color="BFBFBF"/>
              <w:left w:val="single" w:sz="4" w:color="BFBFBF"/>
              <w:bottom w:val="single" w:sz="4" w:color="BFBFBF"/>
              <w:right w:val="single" w:sz="4" w:color="BFBFBF"/>
            </w:tcBorders>
          </w:tcPr>
          <w:p>
            <w:r/>
            <w:r>
              <w:rPr>
                <w:sz w:val="20"/>
              </w:rPr>
              <w:t>the European Parliament's panel that commissions research on science and technology</w:t>
            </w:r>
          </w:p>
        </w:tc>
      </w:tr>
    </w:tbl>
    <w:p>
      <w:pPr>
        <w:spacing w:before="200" w:after="80"/>
      </w:pPr>
      <w:r>
        <w:rPr>
          <w:b/>
          <w:color w:val="1F4E79"/>
          <w:sz w:val="26"/>
        </w:rPr>
        <w:t>Guiding questions (answer these in your worksheet)</w:t>
      </w:r>
    </w:p>
    <w:p>
      <w:pPr>
        <w:spacing w:after="40"/>
        <w:ind w:left="432" w:hanging="216"/>
      </w:pPr>
      <w:r>
        <w:rPr>
          <w:sz w:val="22"/>
        </w:rPr>
        <w:t>•  Why does immutability clash with PDPL Article 23?</w:t>
      </w:r>
    </w:p>
    <w:p>
      <w:pPr>
        <w:spacing w:after="40"/>
        <w:ind w:left="432" w:hanging="216"/>
      </w:pPr>
      <w:r>
        <w:rPr>
          <w:sz w:val="22"/>
        </w:rPr>
        <w:t>•  Which mitigation would you choose for a loyalty programme, and why?</w:t>
      </w:r>
    </w:p>
    <w:p>
      <w:pPr>
        <w:spacing w:after="40"/>
        <w:ind w:left="432" w:hanging="216"/>
      </w:pPr>
      <w:r>
        <w:rPr>
          <w:sz w:val="22"/>
        </w:rPr>
        <w:t>•  What does your chosen mitigation still fail to solve?</w:t>
      </w:r>
    </w:p>
    <w:p>
      <w:pPr>
        <w:spacing w:before="200" w:after="80"/>
      </w:pPr>
      <w:r>
        <w:rPr>
          <w:b/>
          <w:color w:val="1F4E79"/>
          <w:sz w:val="26"/>
        </w:rPr>
        <w:t>What to extract</w:t>
      </w:r>
    </w:p>
    <w:p>
      <w:r>
        <w:rPr>
          <w:b w:val="0"/>
          <w:i w:val="0"/>
          <w:sz w:val="22"/>
        </w:rPr>
        <w:t>One design rule that keeps a ledger PDPL-friendly.</w:t>
      </w:r>
    </w:p>
    <w:p>
      <w:r>
        <w:rPr>
          <w:b w:val="0"/>
          <w:i/>
          <w:sz w:val="18"/>
        </w:rPr>
        <w:t>Sources: Bahrain Personal Data Protection Law (Law No. 30 of 2018), Articles 12, 22, 23, 24 (primary law).; Finck, M. (2019). Blockchain and the General Data Protection Regulation. European Parliament STOA, PE 634.445, sections 3-4.</w:t>
      </w:r>
    </w:p>
    <w:sectPr w:rsidR="00177B4F" w:rsidRPr="00177B4F">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CBBF6C" w14:textId="77777777" w:rsidR="00056D21" w:rsidRDefault="00056D21" w:rsidP="002F5FE7">
      <w:pPr>
        <w:spacing w:after="0" w:line="240" w:lineRule="auto"/>
      </w:pPr>
      <w:r>
        <w:separator/>
      </w:r>
    </w:p>
  </w:endnote>
  <w:endnote w:type="continuationSeparator" w:id="0">
    <w:p w14:paraId="57BF3AAD" w14:textId="77777777" w:rsidR="00056D21" w:rsidRDefault="00056D21" w:rsidP="002F5F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nil"/>
        <w:left w:val="nil"/>
        <w:bottom w:val="nil"/>
        <w:right w:val="nil"/>
        <w:insideH w:val="nil"/>
        <w:insideV w:val="nil"/>
      </w:tblBorders>
      <w:tblLook w:val="04A0" w:firstRow="1" w:lastRow="0" w:firstColumn="1" w:lastColumn="0" w:noHBand="0" w:noVBand="1"/>
    </w:tblPr>
    <w:tblGrid>
      <w:gridCol w:w="4680"/>
      <w:gridCol w:w="4680"/>
    </w:tblGrid>
    <w:tr w:rsidR="00C90831" w14:paraId="300F935E" w14:textId="77777777">
      <w:tc>
        <w:tcPr>
          <w:tcW w:w="2500" w:type="pct"/>
          <w:tcBorders>
            <w:top w:val="nil"/>
            <w:left w:val="nil"/>
            <w:bottom w:val="nil"/>
            <w:right w:val="nil"/>
          </w:tcBorders>
        </w:tcPr>
        <w:p w14:paraId="6283315C" w14:textId="77777777" w:rsidR="00C90831" w:rsidRDefault="00056D21">
          <w:pPr>
            <w:spacing w:after="0"/>
          </w:pPr>
          <w:r>
            <w:rPr>
              <w:color w:val="808080"/>
              <w:sz w:val="18"/>
            </w:rPr>
            <w:t>Bassam Bukhowa</w:t>
          </w:r>
        </w:p>
      </w:tc>
      <w:tc>
        <w:tcPr>
          <w:tcW w:w="2500" w:type="pct"/>
          <w:tcBorders>
            <w:top w:val="nil"/>
            <w:left w:val="nil"/>
            <w:bottom w:val="nil"/>
            <w:right w:val="nil"/>
          </w:tcBorders>
        </w:tcPr>
        <w:p w14:paraId="5E099114" w14:textId="77777777" w:rsidR="00C90831" w:rsidRDefault="00056D21">
          <w:pPr>
            <w:spacing w:after="0"/>
            <w:jc w:val="right"/>
          </w:pPr>
          <w:r>
            <w:rPr>
              <w:color w:val="808080"/>
              <w:sz w:val="18"/>
            </w:rPr>
            <w:t xml:space="preserve">Page </w:t>
          </w:r>
          <w:r>
            <w:rPr>
              <w:color w:val="808080"/>
              <w:sz w:val="18"/>
            </w:rPr>
            <w:fldChar w:fldCharType="begin"/>
          </w:r>
          <w:r>
            <w:rPr>
              <w:color w:val="808080"/>
              <w:sz w:val="18"/>
            </w:rPr>
            <w:instrText>PAGE</w:instrText>
          </w:r>
          <w:r>
            <w:rPr>
              <w:color w:val="808080"/>
              <w:sz w:val="18"/>
            </w:rPr>
            <w:fldChar w:fldCharType="end"/>
          </w:r>
          <w:r>
            <w:rPr>
              <w:color w:val="808080"/>
              <w:sz w:val="18"/>
            </w:rPr>
            <w:t xml:space="preserve"> of </w:t>
          </w:r>
          <w:r>
            <w:rPr>
              <w:color w:val="808080"/>
              <w:sz w:val="18"/>
            </w:rPr>
            <w:fldChar w:fldCharType="begin"/>
          </w:r>
          <w:r>
            <w:rPr>
              <w:color w:val="808080"/>
              <w:sz w:val="18"/>
            </w:rPr>
            <w:instrText>NUMPAGES</w:instrText>
          </w:r>
          <w:r>
            <w:rPr>
              <w:color w:val="808080"/>
              <w:sz w:val="18"/>
            </w:rPr>
            <w:fldChar w:fldCharType="end"/>
          </w:r>
        </w:p>
      </w:tc>
    </w:tr>
  </w:tbl>
  <w:p w14:paraId="60955497" w14:textId="77777777" w:rsidR="00C90831" w:rsidRDefault="00C90831">
    <w:pPr>
      <w:spacing w:after="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nil"/>
        <w:left w:val="nil"/>
        <w:bottom w:val="nil"/>
        <w:right w:val="nil"/>
        <w:insideH w:val="nil"/>
        <w:insideV w:val="nil"/>
      </w:tblBorders>
      <w:tblLook w:val="04A0" w:firstRow="1" w:lastRow="0" w:firstColumn="1" w:lastColumn="0" w:noHBand="0" w:noVBand="1"/>
    </w:tblPr>
    <w:tblGrid>
      <w:gridCol w:w="4680"/>
      <w:gridCol w:w="4680"/>
    </w:tblGrid>
    <w:tr w:rsidR="00C90831" w14:paraId="3BF91A01" w14:textId="77777777">
      <w:tc>
        <w:tcPr>
          <w:tcW w:w="2500" w:type="pct"/>
          <w:tcBorders>
            <w:top w:val="nil"/>
            <w:left w:val="nil"/>
            <w:bottom w:val="nil"/>
            <w:right w:val="nil"/>
          </w:tcBorders>
        </w:tcPr>
        <w:p w14:paraId="7B9EC296" w14:textId="77777777" w:rsidR="00C90831" w:rsidRDefault="00056D21">
          <w:pPr>
            <w:spacing w:after="0"/>
          </w:pPr>
          <w:r>
            <w:rPr>
              <w:color w:val="808080"/>
              <w:sz w:val="18"/>
            </w:rPr>
            <w:t>Bassam Bukhowa</w:t>
          </w:r>
        </w:p>
      </w:tc>
      <w:tc>
        <w:tcPr>
          <w:tcW w:w="2500" w:type="pct"/>
          <w:tcBorders>
            <w:top w:val="nil"/>
            <w:left w:val="nil"/>
            <w:bottom w:val="nil"/>
            <w:right w:val="nil"/>
          </w:tcBorders>
        </w:tcPr>
        <w:p w14:paraId="149BE6FC" w14:textId="02B43803" w:rsidR="00C90831" w:rsidRDefault="00056D21">
          <w:pPr>
            <w:spacing w:after="0"/>
            <w:jc w:val="right"/>
          </w:pPr>
          <w:r>
            <w:rPr>
              <w:color w:val="808080"/>
              <w:sz w:val="18"/>
            </w:rPr>
            <w:t xml:space="preserve">Page </w:t>
          </w:r>
          <w:r>
            <w:rPr>
              <w:color w:val="808080"/>
              <w:sz w:val="18"/>
            </w:rPr>
            <w:fldChar w:fldCharType="begin"/>
          </w:r>
          <w:r>
            <w:rPr>
              <w:color w:val="808080"/>
              <w:sz w:val="18"/>
            </w:rPr>
            <w:instrText>PAGE</w:instrText>
          </w:r>
          <w:r w:rsidR="000A5244">
            <w:rPr>
              <w:color w:val="808080"/>
              <w:sz w:val="18"/>
            </w:rPr>
            <w:fldChar w:fldCharType="separate"/>
          </w:r>
          <w:r w:rsidR="000A5244">
            <w:rPr>
              <w:noProof/>
              <w:color w:val="808080"/>
              <w:sz w:val="18"/>
            </w:rPr>
            <w:t>1</w:t>
          </w:r>
          <w:r>
            <w:rPr>
              <w:color w:val="808080"/>
              <w:sz w:val="18"/>
            </w:rPr>
            <w:fldChar w:fldCharType="end"/>
          </w:r>
          <w:r>
            <w:rPr>
              <w:color w:val="808080"/>
              <w:sz w:val="18"/>
            </w:rPr>
            <w:t xml:space="preserve"> of </w:t>
          </w:r>
          <w:r>
            <w:rPr>
              <w:color w:val="808080"/>
              <w:sz w:val="18"/>
            </w:rPr>
            <w:fldChar w:fldCharType="begin"/>
          </w:r>
          <w:r>
            <w:rPr>
              <w:color w:val="808080"/>
              <w:sz w:val="18"/>
            </w:rPr>
            <w:instrText>NUMPAGES</w:instrText>
          </w:r>
          <w:r w:rsidR="000A5244">
            <w:rPr>
              <w:color w:val="808080"/>
              <w:sz w:val="18"/>
            </w:rPr>
            <w:fldChar w:fldCharType="separate"/>
          </w:r>
          <w:r w:rsidR="000A5244">
            <w:rPr>
              <w:noProof/>
              <w:color w:val="808080"/>
              <w:sz w:val="18"/>
            </w:rPr>
            <w:t>2</w:t>
          </w:r>
          <w:r>
            <w:rPr>
              <w:color w:val="808080"/>
              <w:sz w:val="18"/>
            </w:rPr>
            <w:fldChar w:fldCharType="end"/>
          </w:r>
        </w:p>
      </w:tc>
    </w:tr>
  </w:tbl>
  <w:p w14:paraId="5E6764A4" w14:textId="77777777" w:rsidR="00C90831" w:rsidRDefault="00C90831">
    <w:pPr>
      <w:spacing w:after="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F4A12" w14:textId="77777777" w:rsidR="002F5FE7" w:rsidRDefault="002F5F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3C0329" w14:textId="77777777" w:rsidR="00056D21" w:rsidRDefault="00056D21" w:rsidP="002F5FE7">
      <w:pPr>
        <w:spacing w:after="0" w:line="240" w:lineRule="auto"/>
      </w:pPr>
      <w:r>
        <w:separator/>
      </w:r>
    </w:p>
  </w:footnote>
  <w:footnote w:type="continuationSeparator" w:id="0">
    <w:p w14:paraId="63267BCA" w14:textId="77777777" w:rsidR="00056D21" w:rsidRDefault="00056D21" w:rsidP="002F5F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42C03" w14:textId="77777777" w:rsidR="002F5FE7" w:rsidRDefault="002F5FE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jc w:val="center"/>
    </w:pPr>
    <w:r>
      <w:rPr>
        <w:b/>
        <w:color w:val="1F4E79"/>
        <w:sz w:val="20"/>
      </w:rPr>
      <w:t>IT8204 Week 6 Session 1 Structured Extract v1.0</w:t>
    </w:r>
  </w:p>
  <w:p w14:paraId="66F57A94" w14:textId="2B872235" w:rsidR="002F5FE7" w:rsidRDefault="002F5FE7" w:rsidP="002F5FE7">
    <w:pPr>
      <w:pStyle w:val="Header"/>
      <w:jc w:val="center"/>
    </w:pPr>
    <w:r>
      <w:rPr>
        <w:noProof/>
      </w:rPr>
      <w:drawing>
        <wp:inline distT="0" distB="0" distL="0" distR="0" wp14:anchorId="7A38259D" wp14:editId="5707FA7C">
          <wp:extent cx="3263900" cy="512094"/>
          <wp:effectExtent l="0" t="0" r="0" b="2540"/>
          <wp:docPr id="663283008" name="Picture 43" descr="A blue and black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283008" name="Picture 43" descr="A blue and black logo  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t="18224" b="19132"/>
                  <a:stretch/>
                </pic:blipFill>
                <pic:spPr bwMode="auto">
                  <a:xfrm>
                    <a:off x="0" y="0"/>
                    <a:ext cx="3401864" cy="533740"/>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93CF3" w14:textId="77777777" w:rsidR="002F5FE7" w:rsidRDefault="002F5FE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A63"/>
    <w:rsid w:val="000010CF"/>
    <w:rsid w:val="00004D5A"/>
    <w:rsid w:val="000222DE"/>
    <w:rsid w:val="00025D3C"/>
    <w:rsid w:val="00040220"/>
    <w:rsid w:val="000445E9"/>
    <w:rsid w:val="0004464D"/>
    <w:rsid w:val="000542D0"/>
    <w:rsid w:val="00056D21"/>
    <w:rsid w:val="000613CC"/>
    <w:rsid w:val="0006179C"/>
    <w:rsid w:val="00062890"/>
    <w:rsid w:val="00062ED6"/>
    <w:rsid w:val="00065F4F"/>
    <w:rsid w:val="0007019B"/>
    <w:rsid w:val="0007291A"/>
    <w:rsid w:val="00076BE7"/>
    <w:rsid w:val="00082BAA"/>
    <w:rsid w:val="0008625E"/>
    <w:rsid w:val="000927D4"/>
    <w:rsid w:val="00092C7B"/>
    <w:rsid w:val="00095FEA"/>
    <w:rsid w:val="000A5244"/>
    <w:rsid w:val="000B1215"/>
    <w:rsid w:val="000C15F0"/>
    <w:rsid w:val="000C26BA"/>
    <w:rsid w:val="000D11AB"/>
    <w:rsid w:val="000D5C71"/>
    <w:rsid w:val="000D5E80"/>
    <w:rsid w:val="000D61FF"/>
    <w:rsid w:val="000E19B7"/>
    <w:rsid w:val="000F1EBC"/>
    <w:rsid w:val="001067CF"/>
    <w:rsid w:val="00124BCE"/>
    <w:rsid w:val="0012779E"/>
    <w:rsid w:val="00132BD9"/>
    <w:rsid w:val="001369D9"/>
    <w:rsid w:val="001401E2"/>
    <w:rsid w:val="00140797"/>
    <w:rsid w:val="00141C2F"/>
    <w:rsid w:val="00154FDD"/>
    <w:rsid w:val="00164BA0"/>
    <w:rsid w:val="00166587"/>
    <w:rsid w:val="001667E1"/>
    <w:rsid w:val="00173153"/>
    <w:rsid w:val="0017444B"/>
    <w:rsid w:val="00177B4F"/>
    <w:rsid w:val="00187E7B"/>
    <w:rsid w:val="00191A66"/>
    <w:rsid w:val="00191E86"/>
    <w:rsid w:val="00192963"/>
    <w:rsid w:val="00193179"/>
    <w:rsid w:val="00195D89"/>
    <w:rsid w:val="001979CF"/>
    <w:rsid w:val="001A1933"/>
    <w:rsid w:val="001A3016"/>
    <w:rsid w:val="001B1F08"/>
    <w:rsid w:val="001C12F0"/>
    <w:rsid w:val="001C3926"/>
    <w:rsid w:val="001D027A"/>
    <w:rsid w:val="001D055A"/>
    <w:rsid w:val="001D1765"/>
    <w:rsid w:val="001E3D58"/>
    <w:rsid w:val="001E4B79"/>
    <w:rsid w:val="001E5742"/>
    <w:rsid w:val="001E61D4"/>
    <w:rsid w:val="001F3CFB"/>
    <w:rsid w:val="001F6C9C"/>
    <w:rsid w:val="0020063D"/>
    <w:rsid w:val="00207032"/>
    <w:rsid w:val="002124CE"/>
    <w:rsid w:val="00214FF4"/>
    <w:rsid w:val="00220AD5"/>
    <w:rsid w:val="00226DC0"/>
    <w:rsid w:val="00227381"/>
    <w:rsid w:val="002368C6"/>
    <w:rsid w:val="0024127E"/>
    <w:rsid w:val="00244300"/>
    <w:rsid w:val="00245FF7"/>
    <w:rsid w:val="00246922"/>
    <w:rsid w:val="002548B0"/>
    <w:rsid w:val="00255FF4"/>
    <w:rsid w:val="00266BF8"/>
    <w:rsid w:val="002675CB"/>
    <w:rsid w:val="002732BE"/>
    <w:rsid w:val="00273663"/>
    <w:rsid w:val="00273D19"/>
    <w:rsid w:val="002778F7"/>
    <w:rsid w:val="00281069"/>
    <w:rsid w:val="0028349B"/>
    <w:rsid w:val="002839C7"/>
    <w:rsid w:val="00286F43"/>
    <w:rsid w:val="00287CC6"/>
    <w:rsid w:val="00290E2C"/>
    <w:rsid w:val="00291149"/>
    <w:rsid w:val="00292009"/>
    <w:rsid w:val="002A33C3"/>
    <w:rsid w:val="002B374D"/>
    <w:rsid w:val="002B3E58"/>
    <w:rsid w:val="002B3E79"/>
    <w:rsid w:val="002B762A"/>
    <w:rsid w:val="002B7BCA"/>
    <w:rsid w:val="002C1BB7"/>
    <w:rsid w:val="002C2D19"/>
    <w:rsid w:val="002D74F7"/>
    <w:rsid w:val="002D7B2E"/>
    <w:rsid w:val="002D7DD0"/>
    <w:rsid w:val="002E2193"/>
    <w:rsid w:val="002E4868"/>
    <w:rsid w:val="002E6F45"/>
    <w:rsid w:val="002E766B"/>
    <w:rsid w:val="002E7EE6"/>
    <w:rsid w:val="002F1A85"/>
    <w:rsid w:val="002F3373"/>
    <w:rsid w:val="002F5FE7"/>
    <w:rsid w:val="0030165C"/>
    <w:rsid w:val="0031627B"/>
    <w:rsid w:val="003237BB"/>
    <w:rsid w:val="00327658"/>
    <w:rsid w:val="00334137"/>
    <w:rsid w:val="003353DE"/>
    <w:rsid w:val="00340F24"/>
    <w:rsid w:val="003444E8"/>
    <w:rsid w:val="003451DE"/>
    <w:rsid w:val="00345A01"/>
    <w:rsid w:val="00352FD0"/>
    <w:rsid w:val="0035506F"/>
    <w:rsid w:val="00355569"/>
    <w:rsid w:val="0035785B"/>
    <w:rsid w:val="00371501"/>
    <w:rsid w:val="00372319"/>
    <w:rsid w:val="0037271F"/>
    <w:rsid w:val="00372DF7"/>
    <w:rsid w:val="00376532"/>
    <w:rsid w:val="00390B2D"/>
    <w:rsid w:val="00393287"/>
    <w:rsid w:val="00395D3E"/>
    <w:rsid w:val="003A33C4"/>
    <w:rsid w:val="003A3CED"/>
    <w:rsid w:val="003A4636"/>
    <w:rsid w:val="003A4C81"/>
    <w:rsid w:val="003A51E0"/>
    <w:rsid w:val="003B52CC"/>
    <w:rsid w:val="003C0126"/>
    <w:rsid w:val="003C3239"/>
    <w:rsid w:val="003C619D"/>
    <w:rsid w:val="003C6429"/>
    <w:rsid w:val="003C79ED"/>
    <w:rsid w:val="003D09E2"/>
    <w:rsid w:val="003D67C8"/>
    <w:rsid w:val="003D7024"/>
    <w:rsid w:val="003E05E7"/>
    <w:rsid w:val="003F19A1"/>
    <w:rsid w:val="003F1CF2"/>
    <w:rsid w:val="003F1F69"/>
    <w:rsid w:val="003F3489"/>
    <w:rsid w:val="003F5448"/>
    <w:rsid w:val="0040240A"/>
    <w:rsid w:val="00403800"/>
    <w:rsid w:val="0040700E"/>
    <w:rsid w:val="00410BE5"/>
    <w:rsid w:val="00415AAD"/>
    <w:rsid w:val="00416B81"/>
    <w:rsid w:val="00434280"/>
    <w:rsid w:val="00434B1F"/>
    <w:rsid w:val="00446007"/>
    <w:rsid w:val="00451352"/>
    <w:rsid w:val="00456DC7"/>
    <w:rsid w:val="004623FD"/>
    <w:rsid w:val="00465602"/>
    <w:rsid w:val="00465B4F"/>
    <w:rsid w:val="004738E7"/>
    <w:rsid w:val="00481641"/>
    <w:rsid w:val="00481D22"/>
    <w:rsid w:val="0049264E"/>
    <w:rsid w:val="00493F57"/>
    <w:rsid w:val="00494282"/>
    <w:rsid w:val="0049761D"/>
    <w:rsid w:val="004B02F1"/>
    <w:rsid w:val="004B17ED"/>
    <w:rsid w:val="004B26AC"/>
    <w:rsid w:val="004B68F6"/>
    <w:rsid w:val="004C0E2D"/>
    <w:rsid w:val="004C2A29"/>
    <w:rsid w:val="004C3ED5"/>
    <w:rsid w:val="004D1A3A"/>
    <w:rsid w:val="004D30A3"/>
    <w:rsid w:val="004D4F25"/>
    <w:rsid w:val="004D72C7"/>
    <w:rsid w:val="004E70BF"/>
    <w:rsid w:val="004F014E"/>
    <w:rsid w:val="004F0A89"/>
    <w:rsid w:val="005074D6"/>
    <w:rsid w:val="005112B0"/>
    <w:rsid w:val="00512402"/>
    <w:rsid w:val="00516776"/>
    <w:rsid w:val="00525A9B"/>
    <w:rsid w:val="00530B1B"/>
    <w:rsid w:val="005341C3"/>
    <w:rsid w:val="00534512"/>
    <w:rsid w:val="00535960"/>
    <w:rsid w:val="0054142F"/>
    <w:rsid w:val="00541631"/>
    <w:rsid w:val="005455D5"/>
    <w:rsid w:val="00550F32"/>
    <w:rsid w:val="005511DF"/>
    <w:rsid w:val="00552AF1"/>
    <w:rsid w:val="00552BE5"/>
    <w:rsid w:val="00553753"/>
    <w:rsid w:val="00555D9E"/>
    <w:rsid w:val="005570D9"/>
    <w:rsid w:val="005724BE"/>
    <w:rsid w:val="0057457A"/>
    <w:rsid w:val="00580A88"/>
    <w:rsid w:val="00592991"/>
    <w:rsid w:val="00594C6E"/>
    <w:rsid w:val="005961A3"/>
    <w:rsid w:val="0059772F"/>
    <w:rsid w:val="005A0513"/>
    <w:rsid w:val="005A2A75"/>
    <w:rsid w:val="005A2F64"/>
    <w:rsid w:val="005A33CF"/>
    <w:rsid w:val="005C37BA"/>
    <w:rsid w:val="005C3CEA"/>
    <w:rsid w:val="005C3FF8"/>
    <w:rsid w:val="005C5246"/>
    <w:rsid w:val="005C640F"/>
    <w:rsid w:val="005D7DA1"/>
    <w:rsid w:val="005E6562"/>
    <w:rsid w:val="005F44AD"/>
    <w:rsid w:val="00610080"/>
    <w:rsid w:val="00611D46"/>
    <w:rsid w:val="006175EA"/>
    <w:rsid w:val="00621E1B"/>
    <w:rsid w:val="00622658"/>
    <w:rsid w:val="0062754F"/>
    <w:rsid w:val="00637153"/>
    <w:rsid w:val="00650CF2"/>
    <w:rsid w:val="00651D3F"/>
    <w:rsid w:val="0065262E"/>
    <w:rsid w:val="00652EA3"/>
    <w:rsid w:val="0065486B"/>
    <w:rsid w:val="0066010A"/>
    <w:rsid w:val="00663B53"/>
    <w:rsid w:val="006661E6"/>
    <w:rsid w:val="00666991"/>
    <w:rsid w:val="00682EE6"/>
    <w:rsid w:val="00683DBA"/>
    <w:rsid w:val="00691A83"/>
    <w:rsid w:val="00693414"/>
    <w:rsid w:val="006A3AB8"/>
    <w:rsid w:val="006B0028"/>
    <w:rsid w:val="006B09DF"/>
    <w:rsid w:val="006B1E83"/>
    <w:rsid w:val="006C5301"/>
    <w:rsid w:val="006D011B"/>
    <w:rsid w:val="006D759C"/>
    <w:rsid w:val="006E01A4"/>
    <w:rsid w:val="006E3734"/>
    <w:rsid w:val="006E4BC3"/>
    <w:rsid w:val="006E4F08"/>
    <w:rsid w:val="006E5CDE"/>
    <w:rsid w:val="006E5E61"/>
    <w:rsid w:val="006F2882"/>
    <w:rsid w:val="006F780D"/>
    <w:rsid w:val="007038D5"/>
    <w:rsid w:val="00705F9A"/>
    <w:rsid w:val="0070655F"/>
    <w:rsid w:val="007271B2"/>
    <w:rsid w:val="00733A40"/>
    <w:rsid w:val="007363AD"/>
    <w:rsid w:val="00740BE1"/>
    <w:rsid w:val="00741E5D"/>
    <w:rsid w:val="00742DCE"/>
    <w:rsid w:val="007432FF"/>
    <w:rsid w:val="00743C72"/>
    <w:rsid w:val="007454BA"/>
    <w:rsid w:val="00746839"/>
    <w:rsid w:val="0075245D"/>
    <w:rsid w:val="00754202"/>
    <w:rsid w:val="00761C27"/>
    <w:rsid w:val="007644F0"/>
    <w:rsid w:val="0076512D"/>
    <w:rsid w:val="00767B48"/>
    <w:rsid w:val="00775487"/>
    <w:rsid w:val="007846B2"/>
    <w:rsid w:val="00790698"/>
    <w:rsid w:val="0079410D"/>
    <w:rsid w:val="00794C6B"/>
    <w:rsid w:val="00795F2E"/>
    <w:rsid w:val="007A1450"/>
    <w:rsid w:val="007A1AF5"/>
    <w:rsid w:val="007A5996"/>
    <w:rsid w:val="007B2D32"/>
    <w:rsid w:val="007B484A"/>
    <w:rsid w:val="007B5C1C"/>
    <w:rsid w:val="007B7430"/>
    <w:rsid w:val="007B7C1D"/>
    <w:rsid w:val="007C13F4"/>
    <w:rsid w:val="007D001F"/>
    <w:rsid w:val="007D44E7"/>
    <w:rsid w:val="007E39C8"/>
    <w:rsid w:val="007E3B0B"/>
    <w:rsid w:val="007E44C4"/>
    <w:rsid w:val="007E60CC"/>
    <w:rsid w:val="007F341E"/>
    <w:rsid w:val="007F7FC1"/>
    <w:rsid w:val="00803FF8"/>
    <w:rsid w:val="008061CC"/>
    <w:rsid w:val="0080658B"/>
    <w:rsid w:val="0081132B"/>
    <w:rsid w:val="0082027A"/>
    <w:rsid w:val="00822D45"/>
    <w:rsid w:val="008310A7"/>
    <w:rsid w:val="00846FA1"/>
    <w:rsid w:val="00847FB4"/>
    <w:rsid w:val="00850670"/>
    <w:rsid w:val="00856042"/>
    <w:rsid w:val="0085791C"/>
    <w:rsid w:val="0085798E"/>
    <w:rsid w:val="008607F1"/>
    <w:rsid w:val="00872395"/>
    <w:rsid w:val="0088483A"/>
    <w:rsid w:val="00890DA7"/>
    <w:rsid w:val="008A2860"/>
    <w:rsid w:val="008A6060"/>
    <w:rsid w:val="008B6B6A"/>
    <w:rsid w:val="008B6EA9"/>
    <w:rsid w:val="008C0A3F"/>
    <w:rsid w:val="008C39B3"/>
    <w:rsid w:val="008C47BC"/>
    <w:rsid w:val="008D4404"/>
    <w:rsid w:val="008F0353"/>
    <w:rsid w:val="008F250D"/>
    <w:rsid w:val="008F5394"/>
    <w:rsid w:val="008F667D"/>
    <w:rsid w:val="00906B5A"/>
    <w:rsid w:val="00906D62"/>
    <w:rsid w:val="00906FC2"/>
    <w:rsid w:val="0091247D"/>
    <w:rsid w:val="00921C43"/>
    <w:rsid w:val="0092311E"/>
    <w:rsid w:val="00931A63"/>
    <w:rsid w:val="0093467A"/>
    <w:rsid w:val="00935E7C"/>
    <w:rsid w:val="00942586"/>
    <w:rsid w:val="0094571A"/>
    <w:rsid w:val="0094645B"/>
    <w:rsid w:val="0094737C"/>
    <w:rsid w:val="009507B6"/>
    <w:rsid w:val="00955E8A"/>
    <w:rsid w:val="009600F1"/>
    <w:rsid w:val="0096046F"/>
    <w:rsid w:val="00972CAE"/>
    <w:rsid w:val="00975397"/>
    <w:rsid w:val="00985BCD"/>
    <w:rsid w:val="00985C70"/>
    <w:rsid w:val="0099209E"/>
    <w:rsid w:val="009934A9"/>
    <w:rsid w:val="0099380F"/>
    <w:rsid w:val="00995E60"/>
    <w:rsid w:val="009A1E73"/>
    <w:rsid w:val="009A74AA"/>
    <w:rsid w:val="009B1FD9"/>
    <w:rsid w:val="009B38FA"/>
    <w:rsid w:val="009B4904"/>
    <w:rsid w:val="009C00D6"/>
    <w:rsid w:val="009C4AB0"/>
    <w:rsid w:val="009D3427"/>
    <w:rsid w:val="009D6E8B"/>
    <w:rsid w:val="009E7B62"/>
    <w:rsid w:val="009F2938"/>
    <w:rsid w:val="009F6365"/>
    <w:rsid w:val="009F79E9"/>
    <w:rsid w:val="009F7D43"/>
    <w:rsid w:val="00A0066F"/>
    <w:rsid w:val="00A0219B"/>
    <w:rsid w:val="00A04945"/>
    <w:rsid w:val="00A14A65"/>
    <w:rsid w:val="00A162B9"/>
    <w:rsid w:val="00A21901"/>
    <w:rsid w:val="00A2345A"/>
    <w:rsid w:val="00A27845"/>
    <w:rsid w:val="00A334DF"/>
    <w:rsid w:val="00A34437"/>
    <w:rsid w:val="00A413D4"/>
    <w:rsid w:val="00A4377E"/>
    <w:rsid w:val="00A4658E"/>
    <w:rsid w:val="00A50E0E"/>
    <w:rsid w:val="00A52186"/>
    <w:rsid w:val="00A52BF8"/>
    <w:rsid w:val="00A54A47"/>
    <w:rsid w:val="00A54A9A"/>
    <w:rsid w:val="00A57EC5"/>
    <w:rsid w:val="00A60E36"/>
    <w:rsid w:val="00A70373"/>
    <w:rsid w:val="00A707EB"/>
    <w:rsid w:val="00A73EB8"/>
    <w:rsid w:val="00A76430"/>
    <w:rsid w:val="00A76DA1"/>
    <w:rsid w:val="00A812A1"/>
    <w:rsid w:val="00A81727"/>
    <w:rsid w:val="00A82793"/>
    <w:rsid w:val="00A83CFD"/>
    <w:rsid w:val="00A840A8"/>
    <w:rsid w:val="00A860B8"/>
    <w:rsid w:val="00A90D17"/>
    <w:rsid w:val="00A96C6B"/>
    <w:rsid w:val="00AA5E01"/>
    <w:rsid w:val="00AA7DF0"/>
    <w:rsid w:val="00AB2336"/>
    <w:rsid w:val="00AB3727"/>
    <w:rsid w:val="00AB63C8"/>
    <w:rsid w:val="00AB6B66"/>
    <w:rsid w:val="00AC39EE"/>
    <w:rsid w:val="00AD0E36"/>
    <w:rsid w:val="00AD2205"/>
    <w:rsid w:val="00AD221A"/>
    <w:rsid w:val="00AD3DDF"/>
    <w:rsid w:val="00AD442B"/>
    <w:rsid w:val="00AD5183"/>
    <w:rsid w:val="00AD7851"/>
    <w:rsid w:val="00AE23E1"/>
    <w:rsid w:val="00AE30E1"/>
    <w:rsid w:val="00AE4AAB"/>
    <w:rsid w:val="00AF4EE0"/>
    <w:rsid w:val="00B042CC"/>
    <w:rsid w:val="00B05A66"/>
    <w:rsid w:val="00B1295C"/>
    <w:rsid w:val="00B22658"/>
    <w:rsid w:val="00B26E21"/>
    <w:rsid w:val="00B31052"/>
    <w:rsid w:val="00B3164C"/>
    <w:rsid w:val="00B437E0"/>
    <w:rsid w:val="00B5043D"/>
    <w:rsid w:val="00B5520D"/>
    <w:rsid w:val="00B56D1B"/>
    <w:rsid w:val="00B57252"/>
    <w:rsid w:val="00B62FEB"/>
    <w:rsid w:val="00B6407B"/>
    <w:rsid w:val="00B66970"/>
    <w:rsid w:val="00B67F5D"/>
    <w:rsid w:val="00B745E1"/>
    <w:rsid w:val="00B80407"/>
    <w:rsid w:val="00B804E1"/>
    <w:rsid w:val="00B82251"/>
    <w:rsid w:val="00BA2276"/>
    <w:rsid w:val="00BA2557"/>
    <w:rsid w:val="00BA27D9"/>
    <w:rsid w:val="00BA600E"/>
    <w:rsid w:val="00BB0003"/>
    <w:rsid w:val="00BB487B"/>
    <w:rsid w:val="00BB79EF"/>
    <w:rsid w:val="00BC344A"/>
    <w:rsid w:val="00BC35E4"/>
    <w:rsid w:val="00BC71CB"/>
    <w:rsid w:val="00BE40AC"/>
    <w:rsid w:val="00BF0357"/>
    <w:rsid w:val="00C01F74"/>
    <w:rsid w:val="00C03F78"/>
    <w:rsid w:val="00C15D04"/>
    <w:rsid w:val="00C2352E"/>
    <w:rsid w:val="00C320ED"/>
    <w:rsid w:val="00C344F5"/>
    <w:rsid w:val="00C40D43"/>
    <w:rsid w:val="00C47B5C"/>
    <w:rsid w:val="00C5029A"/>
    <w:rsid w:val="00C531F0"/>
    <w:rsid w:val="00C66182"/>
    <w:rsid w:val="00C67998"/>
    <w:rsid w:val="00C721E4"/>
    <w:rsid w:val="00C75F60"/>
    <w:rsid w:val="00C762C8"/>
    <w:rsid w:val="00C82D12"/>
    <w:rsid w:val="00C8406C"/>
    <w:rsid w:val="00C90831"/>
    <w:rsid w:val="00C9471D"/>
    <w:rsid w:val="00CB1910"/>
    <w:rsid w:val="00CB68E1"/>
    <w:rsid w:val="00CC280F"/>
    <w:rsid w:val="00CC6699"/>
    <w:rsid w:val="00CD2663"/>
    <w:rsid w:val="00CD5F74"/>
    <w:rsid w:val="00CF48BE"/>
    <w:rsid w:val="00CF7D83"/>
    <w:rsid w:val="00D02ED9"/>
    <w:rsid w:val="00D04241"/>
    <w:rsid w:val="00D05173"/>
    <w:rsid w:val="00D17043"/>
    <w:rsid w:val="00D223B9"/>
    <w:rsid w:val="00D2726A"/>
    <w:rsid w:val="00D335D1"/>
    <w:rsid w:val="00D345A8"/>
    <w:rsid w:val="00D353BC"/>
    <w:rsid w:val="00D36468"/>
    <w:rsid w:val="00D43299"/>
    <w:rsid w:val="00D51435"/>
    <w:rsid w:val="00D57ADA"/>
    <w:rsid w:val="00D63984"/>
    <w:rsid w:val="00D91343"/>
    <w:rsid w:val="00D924FB"/>
    <w:rsid w:val="00D9473D"/>
    <w:rsid w:val="00DA60AC"/>
    <w:rsid w:val="00DD63AE"/>
    <w:rsid w:val="00DD6ECC"/>
    <w:rsid w:val="00DE2B37"/>
    <w:rsid w:val="00DE7E71"/>
    <w:rsid w:val="00DF69E0"/>
    <w:rsid w:val="00E2704F"/>
    <w:rsid w:val="00E27981"/>
    <w:rsid w:val="00E32807"/>
    <w:rsid w:val="00E3427B"/>
    <w:rsid w:val="00E4070B"/>
    <w:rsid w:val="00E4565A"/>
    <w:rsid w:val="00E471A9"/>
    <w:rsid w:val="00E50582"/>
    <w:rsid w:val="00E511D5"/>
    <w:rsid w:val="00E651C8"/>
    <w:rsid w:val="00E65D88"/>
    <w:rsid w:val="00E679EF"/>
    <w:rsid w:val="00E73E21"/>
    <w:rsid w:val="00E8117C"/>
    <w:rsid w:val="00E812D2"/>
    <w:rsid w:val="00E83D07"/>
    <w:rsid w:val="00E84181"/>
    <w:rsid w:val="00E87C2E"/>
    <w:rsid w:val="00E935CB"/>
    <w:rsid w:val="00E93C5A"/>
    <w:rsid w:val="00E96CD0"/>
    <w:rsid w:val="00EA27A5"/>
    <w:rsid w:val="00EA3E0C"/>
    <w:rsid w:val="00EA5B19"/>
    <w:rsid w:val="00EA5D37"/>
    <w:rsid w:val="00EA69E0"/>
    <w:rsid w:val="00EB6B2F"/>
    <w:rsid w:val="00EC10F6"/>
    <w:rsid w:val="00EC5C02"/>
    <w:rsid w:val="00ED196A"/>
    <w:rsid w:val="00ED3CA2"/>
    <w:rsid w:val="00EF647C"/>
    <w:rsid w:val="00F0254B"/>
    <w:rsid w:val="00F05DD1"/>
    <w:rsid w:val="00F067B1"/>
    <w:rsid w:val="00F155CA"/>
    <w:rsid w:val="00F27272"/>
    <w:rsid w:val="00F40A79"/>
    <w:rsid w:val="00F43451"/>
    <w:rsid w:val="00F449C0"/>
    <w:rsid w:val="00F47E80"/>
    <w:rsid w:val="00F5447C"/>
    <w:rsid w:val="00F60962"/>
    <w:rsid w:val="00F61643"/>
    <w:rsid w:val="00F61CDA"/>
    <w:rsid w:val="00F63945"/>
    <w:rsid w:val="00F65CC1"/>
    <w:rsid w:val="00F66063"/>
    <w:rsid w:val="00F70152"/>
    <w:rsid w:val="00F711D1"/>
    <w:rsid w:val="00F723EF"/>
    <w:rsid w:val="00F731FE"/>
    <w:rsid w:val="00F776FF"/>
    <w:rsid w:val="00F77C05"/>
    <w:rsid w:val="00F83E91"/>
    <w:rsid w:val="00F866FA"/>
    <w:rsid w:val="00F87E57"/>
    <w:rsid w:val="00F903B1"/>
    <w:rsid w:val="00F92C36"/>
    <w:rsid w:val="00F94F30"/>
    <w:rsid w:val="00FA1678"/>
    <w:rsid w:val="00FA4DE7"/>
    <w:rsid w:val="00FA7206"/>
    <w:rsid w:val="00FB00B7"/>
    <w:rsid w:val="00FB37AA"/>
    <w:rsid w:val="00FB4F08"/>
    <w:rsid w:val="00FB7FFD"/>
    <w:rsid w:val="00FC0DBC"/>
    <w:rsid w:val="00FF18F6"/>
    <w:rsid w:val="00FF3F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A3D5B"/>
  <w15:chartTrackingRefBased/>
  <w15:docId w15:val="{0B3D7D51-9680-49C3-94C2-9817F83CC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1A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1A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1A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1A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1A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1A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1A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1A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1A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A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1A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1A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1A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1A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1A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1A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1A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1A63"/>
    <w:rPr>
      <w:rFonts w:eastAsiaTheme="majorEastAsia" w:cstheme="majorBidi"/>
      <w:color w:val="272727" w:themeColor="text1" w:themeTint="D8"/>
    </w:rPr>
  </w:style>
  <w:style w:type="paragraph" w:styleId="Title">
    <w:name w:val="Title"/>
    <w:basedOn w:val="Normal"/>
    <w:next w:val="Normal"/>
    <w:link w:val="TitleChar"/>
    <w:uiPriority w:val="10"/>
    <w:qFormat/>
    <w:rsid w:val="00931A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1A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1A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1A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1A63"/>
    <w:pPr>
      <w:spacing w:before="160"/>
      <w:jc w:val="center"/>
    </w:pPr>
    <w:rPr>
      <w:i/>
      <w:iCs/>
      <w:color w:val="404040" w:themeColor="text1" w:themeTint="BF"/>
    </w:rPr>
  </w:style>
  <w:style w:type="character" w:customStyle="1" w:styleId="QuoteChar">
    <w:name w:val="Quote Char"/>
    <w:basedOn w:val="DefaultParagraphFont"/>
    <w:link w:val="Quote"/>
    <w:uiPriority w:val="29"/>
    <w:rsid w:val="00931A63"/>
    <w:rPr>
      <w:i/>
      <w:iCs/>
      <w:color w:val="404040" w:themeColor="text1" w:themeTint="BF"/>
    </w:rPr>
  </w:style>
  <w:style w:type="paragraph" w:styleId="ListParagraph">
    <w:name w:val="List Paragraph"/>
    <w:basedOn w:val="Normal"/>
    <w:uiPriority w:val="34"/>
    <w:qFormat/>
    <w:rsid w:val="00931A63"/>
    <w:pPr>
      <w:ind w:left="720"/>
      <w:contextualSpacing/>
    </w:pPr>
  </w:style>
  <w:style w:type="character" w:styleId="IntenseEmphasis">
    <w:name w:val="Intense Emphasis"/>
    <w:basedOn w:val="DefaultParagraphFont"/>
    <w:uiPriority w:val="21"/>
    <w:qFormat/>
    <w:rsid w:val="00931A63"/>
    <w:rPr>
      <w:i/>
      <w:iCs/>
      <w:color w:val="0F4761" w:themeColor="accent1" w:themeShade="BF"/>
    </w:rPr>
  </w:style>
  <w:style w:type="paragraph" w:styleId="IntenseQuote">
    <w:name w:val="Intense Quote"/>
    <w:basedOn w:val="Normal"/>
    <w:next w:val="Normal"/>
    <w:link w:val="IntenseQuoteChar"/>
    <w:uiPriority w:val="30"/>
    <w:qFormat/>
    <w:rsid w:val="00931A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1A63"/>
    <w:rPr>
      <w:i/>
      <w:iCs/>
      <w:color w:val="0F4761" w:themeColor="accent1" w:themeShade="BF"/>
    </w:rPr>
  </w:style>
  <w:style w:type="character" w:styleId="IntenseReference">
    <w:name w:val="Intense Reference"/>
    <w:basedOn w:val="DefaultParagraphFont"/>
    <w:uiPriority w:val="32"/>
    <w:qFormat/>
    <w:rsid w:val="00931A63"/>
    <w:rPr>
      <w:b/>
      <w:bCs/>
      <w:smallCaps/>
      <w:color w:val="0F4761" w:themeColor="accent1" w:themeShade="BF"/>
      <w:spacing w:val="5"/>
    </w:rPr>
  </w:style>
  <w:style w:type="paragraph" w:styleId="Header">
    <w:name w:val="header"/>
    <w:basedOn w:val="Normal"/>
    <w:link w:val="HeaderChar"/>
    <w:uiPriority w:val="99"/>
    <w:unhideWhenUsed/>
    <w:rsid w:val="002F5F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5FE7"/>
  </w:style>
  <w:style w:type="paragraph" w:styleId="Footer">
    <w:name w:val="footer"/>
    <w:basedOn w:val="Normal"/>
    <w:link w:val="FooterChar"/>
    <w:uiPriority w:val="99"/>
    <w:unhideWhenUsed/>
    <w:rsid w:val="002F5F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5F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1</Characters>
  <Application>Microsoft Office Word</Application>
  <DocSecurity>0</DocSecurity>
  <Lines>1</Lines>
  <Paragraphs>1</Paragraphs>
  <ScaleCrop>false</ScaleCrop>
  <Company/>
  <LinksUpToDate>false</LinksUpToDate>
  <CharactersWithSpaces>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Bassam Bukhowa</dc:creator>
  <cp:keywords/>
  <dc:description/>
  <cp:lastModifiedBy>Bassam Bukhowa</cp:lastModifiedBy>
  <cp:revision>4</cp:revision>
  <dcterms:created xsi:type="dcterms:W3CDTF">2026-05-16T22:44:00Z</dcterms:created>
  <dcterms:modified xsi:type="dcterms:W3CDTF">2026-05-20T12:02:00Z</dcterms:modified>
</cp:coreProperties>
</file>