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b/>
          <w:color w:val="1F4E79"/>
          <w:sz w:val="36"/>
        </w:rPr>
        <w:t>Structured Extract - Crypto Market Structure and a Self-Custody Wallet Lab</w:t>
      </w:r>
    </w:p>
    <w:p>
      <w:r>
        <w:rPr>
          <w:b/>
          <w:color w:val="1F4E79"/>
          <w:sz w:val="24"/>
        </w:rPr>
        <w:t>Your second reading: the argument itself, with guidance</w:t>
      </w:r>
    </w:p>
    <w:p>
      <w:r>
        <w:rPr>
          <w:i/>
          <w:color w:val="808080"/>
          <w:sz w:val="18"/>
        </w:rPr>
        <w:t>Week 3, Session 1</w:t>
      </w:r>
    </w:p>
    <w:p>
      <w:pPr>
        <w:spacing w:before="200" w:after="80"/>
      </w:pPr>
      <w:r>
        <w:rPr>
          <w:b/>
          <w:color w:val="1F4E79"/>
          <w:sz w:val="26"/>
        </w:rPr>
        <w:t>Why you are reading this</w:t>
      </w:r>
    </w:p>
    <w:p>
      <w:r>
        <w:rPr>
          <w:b w:val="0"/>
          <w:i w:val="0"/>
          <w:sz w:val="22"/>
        </w:rPr>
        <w:t>Custody is where most real losses happen; understanding keys and seed phrases is the practical core of the course.</w:t>
      </w:r>
    </w:p>
    <w:p>
      <w:pPr>
        <w:spacing w:before="200" w:after="80"/>
      </w:pPr>
      <w:r>
        <w:rPr>
          <w:b/>
          <w:color w:val="1F4E79"/>
          <w:sz w:val="26"/>
        </w:rPr>
        <w:t>The source</w:t>
      </w:r>
    </w:p>
    <w:p>
      <w:r>
        <w:rPr>
          <w:b w:val="0"/>
          <w:i/>
          <w:sz w:val="20"/>
        </w:rPr>
        <w:t>Drescher (2026), Blockchain basics (2nd ed.), Steps 14-18.</w:t>
      </w:r>
    </w:p>
    <w:p>
      <w:pPr>
        <w:spacing w:before="200" w:after="80"/>
      </w:pPr>
      <w:r>
        <w:rPr>
          <w:b/>
          <w:color w:val="1F4E79"/>
          <w:sz w:val="26"/>
        </w:rPr>
        <w:t>The core, in plain English</w:t>
      </w:r>
    </w:p>
    <w:p>
      <w:pPr>
        <w:spacing w:after="40"/>
        <w:ind w:left="432" w:hanging="216"/>
      </w:pPr>
      <w:r>
        <w:rPr>
          <w:sz w:val="22"/>
        </w:rPr>
        <w:t>•  A wallet stores keys, not coins; control of the private key equals control of the funds.</w:t>
      </w:r>
    </w:p>
    <w:p>
      <w:pPr>
        <w:spacing w:after="40"/>
        <w:ind w:left="432" w:hanging="216"/>
      </w:pPr>
      <w:r>
        <w:rPr>
          <w:sz w:val="22"/>
        </w:rPr>
        <w:t>•  A seed phrase can regenerate all keys - it is the single most sensitive secret.</w:t>
      </w:r>
    </w:p>
    <w:p>
      <w:pPr>
        <w:spacing w:after="40"/>
        <w:ind w:left="432" w:hanging="216"/>
      </w:pPr>
      <w:r>
        <w:rPr>
          <w:sz w:val="22"/>
        </w:rPr>
        <w:t>•  Two choices set how much day-to-day risk a wallet carries. The first is whether the keys are kept online (hot) or offline (cold). The second is whether one key can approve a payment, or several must.</w:t>
      </w:r>
    </w:p>
    <w:p>
      <w:pPr>
        <w:spacing w:before="200" w:after="80"/>
      </w:pPr>
      <w:r>
        <w:rPr>
          <w:b/>
          <w:color w:val="1F4E79"/>
          <w:sz w:val="26"/>
        </w:rPr>
        <w:t>Key facts you can use</w:t>
      </w:r>
    </w:p>
    <w:p>
      <w:pPr>
        <w:spacing w:after="40"/>
        <w:ind w:left="432" w:hanging="216"/>
      </w:pPr>
      <w:r>
        <w:rPr>
          <w:sz w:val="22"/>
        </w:rPr>
        <w:t>•  A cryptocurrency is a coin that belongs to its own chain, such as bitcoin. A crypto-token is issued on top of a chain that already exists; many ERC-20 tokens work this way. Crypto-asset is the Central Bank of Bahrain (CBB)'s umbrella term, and it covers both of those for the purposes of regulation.</w:t>
      </w:r>
    </w:p>
    <w:p>
      <w:pPr>
        <w:spacing w:after="40"/>
        <w:ind w:left="432" w:hanging="216"/>
      </w:pPr>
      <w:r>
        <w:rPr>
          <w:sz w:val="22"/>
        </w:rPr>
        <w:t>•  Wallets differ by how much day-to-day risk they carry. In a custodial wallet a third party holds your keys. That is convenient, but you are trusting that party. In a hot self-custody wallet you hold the keys yourself and they are online. That is flexible, but it is exposed to hacking. In a cold multi-sig wallet the keys are kept offline and several of them are needed to approve anything. That is the safest and the least convenient.</w:t>
      </w:r>
    </w:p>
    <w:p>
      <w:pPr>
        <w:spacing w:after="40"/>
        <w:ind w:left="432" w:hanging="216"/>
      </w:pPr>
      <w:r>
        <w:rPr>
          <w:sz w:val="22"/>
        </w:rPr>
        <w:t>•  The mnemonic, also called the seed phrase, IS the wallet. Anyone who has it controls the funds. If you lose it, the funds are gone. Never share it and never photograph it.</w:t>
      </w:r>
    </w:p>
    <w:p>
      <w:pPr>
        <w:spacing w:after="40"/>
        <w:ind w:left="432" w:hanging="216"/>
      </w:pPr>
      <w:r>
        <w:rPr>
          <w:sz w:val="22"/>
        </w:rPr>
        <w:t>•  A faucet is a website that gives free test coins on a testnet so you can practise safely with no real money.</w:t>
      </w:r>
    </w:p>
    <w:p>
      <w:pPr>
        <w:spacing w:before="200" w:after="80"/>
      </w:pPr>
      <w:r>
        <w:rPr>
          <w:b/>
          <w:color w:val="1F4E79"/>
          <w:sz w:val="26"/>
        </w:rPr>
        <w:t>Worked example</w:t>
      </w:r>
    </w:p>
    <w:p>
      <w:r>
        <w:rPr>
          <w:b w:val="0"/>
          <w:i w:val="0"/>
          <w:sz w:val="22"/>
        </w:rPr>
        <w:t>Classify three arrangements by operational risk. (1) An exchange account is custodial. The risk is that the exchange fails or is hacked. (2) MetaMask on a laptop is hot self-custody. The risk is malware on the laptop, or a seed phrase that leaks. (3) A hardware wallet with 2-of-3 multi-sig is cold storage, and two of the three key holders must approve before anything moves. This carries the lowest risk, and it is what firms use for money they hold for the long term.</w:t>
      </w:r>
    </w:p>
    <w:p>
      <w:pPr>
        <w:spacing w:before="200" w:after="80"/>
      </w:pPr>
      <w:r>
        <w:rPr>
          <w:b/>
          <w:color w:val="1F4E79"/>
          <w:sz w:val="26"/>
        </w:rPr>
        <w:t>Words to know</w:t>
      </w:r>
    </w:p>
    <w:tbl>
      <w:tblPr>
        <w:tblW w:type="auto" w:w="0"/>
        <w:tblLayout w:type="autofit"/>
        <w:tblLook w:firstColumn="1" w:firstRow="1" w:lastColumn="0" w:lastRow="0" w:noHBand="0" w:noVBand="1" w:val="04A0"/>
      </w:tblPr>
      <w:tblGrid>
        <w:gridCol w:w="4680"/>
        <w:gridCol w:w="4680"/>
      </w:tblGrid>
      <w:tr>
        <w:tc>
          <w:tcPr>
            <w:tcW w:type="dxa" w:w="2880"/>
            <w:tcBorders>
              <w:top w:val="single" w:sz="4" w:color="BFBFBF"/>
              <w:left w:val="single" w:sz="4" w:color="BFBFBF"/>
              <w:bottom w:val="single" w:sz="4" w:color="BFBFBF"/>
              <w:right w:val="single" w:sz="4" w:color="BFBFBF"/>
            </w:tcBorders>
            <w:shd w:val="clear" w:color="auto" w:fill="1F4E79"/>
          </w:tcPr>
          <w:p>
            <w:r/>
            <w:r>
              <w:rPr>
                <w:b/>
                <w:color w:val="FFFFFF"/>
                <w:sz w:val="20"/>
              </w:rPr>
              <w:t>Term</w:t>
            </w:r>
          </w:p>
        </w:tc>
        <w:tc>
          <w:tcPr>
            <w:tcW w:type="dxa" w:w="6624"/>
            <w:tcBorders>
              <w:top w:val="single" w:sz="4" w:color="BFBFBF"/>
              <w:left w:val="single" w:sz="4" w:color="BFBFBF"/>
              <w:bottom w:val="single" w:sz="4" w:color="BFBFBF"/>
              <w:right w:val="single" w:sz="4" w:color="BFBFBF"/>
            </w:tcBorders>
            <w:shd w:val="clear" w:color="auto" w:fill="1F4E79"/>
          </w:tcPr>
          <w:p>
            <w:r/>
            <w:r>
              <w:rPr>
                <w:b/>
                <w:color w:val="FFFFFF"/>
                <w:sz w:val="20"/>
              </w:rPr>
              <w:t>Plain meaning</w:t>
            </w:r>
          </w:p>
        </w:tc>
      </w:tr>
      <w:tr>
        <w:tc>
          <w:tcPr>
            <w:tcW w:type="dxa" w:w="2880"/>
            <w:tcBorders>
              <w:top w:val="single" w:sz="4" w:color="BFBFBF"/>
              <w:left w:val="single" w:sz="4" w:color="BFBFBF"/>
              <w:bottom w:val="single" w:sz="4" w:color="BFBFBF"/>
              <w:right w:val="single" w:sz="4" w:color="BFBFBF"/>
            </w:tcBorders>
          </w:tcPr>
          <w:p>
            <w:r/>
            <w:r>
              <w:rPr>
                <w:sz w:val="20"/>
              </w:rPr>
              <w:t>Blockchain</w:t>
            </w:r>
          </w:p>
        </w:tc>
        <w:tc>
          <w:tcPr>
            <w:tcW w:type="dxa" w:w="6624"/>
            <w:tcBorders>
              <w:top w:val="single" w:sz="4" w:color="BFBFBF"/>
              <w:left w:val="single" w:sz="4" w:color="BFBFBF"/>
              <w:bottom w:val="single" w:sz="4" w:color="BFBFBF"/>
              <w:right w:val="single" w:sz="4" w:color="BFBFBF"/>
            </w:tcBorders>
          </w:tcPr>
          <w:p>
            <w:r/>
            <w:r>
              <w:rPr>
                <w:sz w:val="20"/>
              </w:rPr>
              <w:t>A shared record book that many computers keep a copy of at the same time. New entries are added in batches called blocks. Each batch is locked to the one before it. No single owner can quietly change an entry that is already in.</w:t>
            </w:r>
          </w:p>
        </w:tc>
      </w:tr>
      <w:tr>
        <w:tc>
          <w:tcPr>
            <w:tcW w:type="dxa" w:w="2880"/>
            <w:tcBorders>
              <w:top w:val="single" w:sz="4" w:color="BFBFBF"/>
              <w:left w:val="single" w:sz="4" w:color="BFBFBF"/>
              <w:bottom w:val="single" w:sz="4" w:color="BFBFBF"/>
              <w:right w:val="single" w:sz="4" w:color="BFBFBF"/>
            </w:tcBorders>
            <w:shd w:val="clear" w:color="auto" w:fill="F2F2F2"/>
          </w:tcPr>
          <w:p>
            <w:r/>
            <w:r>
              <w:rPr>
                <w:sz w:val="20"/>
              </w:rPr>
              <w:t>Token</w:t>
            </w:r>
          </w:p>
        </w:tc>
        <w:tc>
          <w:tcPr>
            <w:tcW w:type="dxa" w:w="6624"/>
            <w:tcBorders>
              <w:top w:val="single" w:sz="4" w:color="BFBFBF"/>
              <w:left w:val="single" w:sz="4" w:color="BFBFBF"/>
              <w:bottom w:val="single" w:sz="4" w:color="BFBFBF"/>
              <w:right w:val="single" w:sz="4" w:color="BFBFBF"/>
            </w:tcBorders>
            <w:shd w:val="clear" w:color="auto" w:fill="F2F2F2"/>
          </w:tcPr>
          <w:p>
            <w:r/>
            <w:r>
              <w:rPr>
                <w:sz w:val="20"/>
              </w:rPr>
              <w:t>A unit of value or of ownership recorded on a blockchain. It can stand for money, for a share in an asset, or for a right to use something.</w:t>
            </w:r>
          </w:p>
        </w:tc>
      </w:tr>
      <w:tr>
        <w:tc>
          <w:tcPr>
            <w:tcW w:type="dxa" w:w="2880"/>
            <w:tcBorders>
              <w:top w:val="single" w:sz="4" w:color="BFBFBF"/>
              <w:left w:val="single" w:sz="4" w:color="BFBFBF"/>
              <w:bottom w:val="single" w:sz="4" w:color="BFBFBF"/>
              <w:right w:val="single" w:sz="4" w:color="BFBFBF"/>
            </w:tcBorders>
          </w:tcPr>
          <w:p>
            <w:r/>
            <w:r>
              <w:rPr>
                <w:sz w:val="20"/>
              </w:rPr>
              <w:t>Wallet</w:t>
            </w:r>
          </w:p>
        </w:tc>
        <w:tc>
          <w:tcPr>
            <w:tcW w:type="dxa" w:w="6624"/>
            <w:tcBorders>
              <w:top w:val="single" w:sz="4" w:color="BFBFBF"/>
              <w:left w:val="single" w:sz="4" w:color="BFBFBF"/>
              <w:bottom w:val="single" w:sz="4" w:color="BFBFBF"/>
              <w:right w:val="single" w:sz="4" w:color="BFBFBF"/>
            </w:tcBorders>
          </w:tcPr>
          <w:p>
            <w:r/>
            <w:r>
              <w:rPr>
                <w:sz w:val="20"/>
              </w:rPr>
              <w:t>The app or device that stores the secret codes which control what you own on a blockchain. It does not hold the assets themselves. Those stay on the record book.</w:t>
            </w:r>
          </w:p>
        </w:tc>
      </w:tr>
      <w:tr>
        <w:tc>
          <w:tcPr>
            <w:tcW w:type="dxa" w:w="2880"/>
            <w:tcBorders>
              <w:top w:val="single" w:sz="4" w:color="BFBFBF"/>
              <w:left w:val="single" w:sz="4" w:color="BFBFBF"/>
              <w:bottom w:val="single" w:sz="4" w:color="BFBFBF"/>
              <w:right w:val="single" w:sz="4" w:color="BFBFBF"/>
            </w:tcBorders>
            <w:shd w:val="clear" w:color="auto" w:fill="F2F2F2"/>
          </w:tcPr>
          <w:p>
            <w:r/>
            <w:r>
              <w:rPr>
                <w:sz w:val="20"/>
              </w:rPr>
              <w:t>Private key</w:t>
            </w:r>
          </w:p>
        </w:tc>
        <w:tc>
          <w:tcPr>
            <w:tcW w:type="dxa" w:w="6624"/>
            <w:tcBorders>
              <w:top w:val="single" w:sz="4" w:color="BFBFBF"/>
              <w:left w:val="single" w:sz="4" w:color="BFBFBF"/>
              <w:bottom w:val="single" w:sz="4" w:color="BFBFBF"/>
              <w:right w:val="single" w:sz="4" w:color="BFBFBF"/>
            </w:tcBorders>
            <w:shd w:val="clear" w:color="auto" w:fill="F2F2F2"/>
          </w:tcPr>
          <w:p>
            <w:r/>
            <w:r>
              <w:rPr>
                <w:sz w:val="20"/>
              </w:rPr>
              <w:t>The secret code that controls an address. Whoever holds it can move whatever that address owns, which is why it is never shared.</w:t>
            </w:r>
          </w:p>
        </w:tc>
      </w:tr>
      <w:tr>
        <w:tc>
          <w:tcPr>
            <w:tcW w:type="dxa" w:w="2880"/>
            <w:tcBorders>
              <w:top w:val="single" w:sz="4" w:color="BFBFBF"/>
              <w:left w:val="single" w:sz="4" w:color="BFBFBF"/>
              <w:bottom w:val="single" w:sz="4" w:color="BFBFBF"/>
              <w:right w:val="single" w:sz="4" w:color="BFBFBF"/>
            </w:tcBorders>
          </w:tcPr>
          <w:p>
            <w:r/>
            <w:r>
              <w:rPr>
                <w:sz w:val="20"/>
              </w:rPr>
              <w:t>Coin</w:t>
            </w:r>
          </w:p>
        </w:tc>
        <w:tc>
          <w:tcPr>
            <w:tcW w:type="dxa" w:w="6624"/>
            <w:tcBorders>
              <w:top w:val="single" w:sz="4" w:color="BFBFBF"/>
              <w:left w:val="single" w:sz="4" w:color="BFBFBF"/>
              <w:bottom w:val="single" w:sz="4" w:color="BFBFBF"/>
              <w:right w:val="single" w:sz="4" w:color="BFBFBF"/>
            </w:tcBorders>
          </w:tcPr>
          <w:p>
            <w:r/>
            <w:r>
              <w:rPr>
                <w:sz w:val="20"/>
              </w:rPr>
              <w:t>A token that belongs to a blockchain's own record book and is used to pay that network's fees. Bitcoin and ether are coins.</w:t>
            </w:r>
          </w:p>
        </w:tc>
      </w:tr>
      <w:tr>
        <w:tc>
          <w:tcPr>
            <w:tcW w:type="dxa" w:w="2880"/>
            <w:tcBorders>
              <w:top w:val="single" w:sz="4" w:color="BFBFBF"/>
              <w:left w:val="single" w:sz="4" w:color="BFBFBF"/>
              <w:bottom w:val="single" w:sz="4" w:color="BFBFBF"/>
              <w:right w:val="single" w:sz="4" w:color="BFBFBF"/>
            </w:tcBorders>
            <w:shd w:val="clear" w:color="auto" w:fill="F2F2F2"/>
          </w:tcPr>
          <w:p>
            <w:r/>
            <w:r>
              <w:rPr>
                <w:sz w:val="20"/>
              </w:rPr>
              <w:t>Custody</w:t>
            </w:r>
          </w:p>
        </w:tc>
        <w:tc>
          <w:tcPr>
            <w:tcW w:type="dxa" w:w="6624"/>
            <w:tcBorders>
              <w:top w:val="single" w:sz="4" w:color="BFBFBF"/>
              <w:left w:val="single" w:sz="4" w:color="BFBFBF"/>
              <w:bottom w:val="single" w:sz="4" w:color="BFBFBF"/>
              <w:right w:val="single" w:sz="4" w:color="BFBFBF"/>
            </w:tcBorders>
            <w:shd w:val="clear" w:color="auto" w:fill="F2F2F2"/>
          </w:tcPr>
          <w:p>
            <w:r/>
            <w:r>
              <w:rPr>
                <w:sz w:val="20"/>
              </w:rPr>
              <w:t>Who holds the secret keys, and so who actually controls the assets. Either you hold them yourself, or a licensed firm holds them for you.</w:t>
            </w:r>
          </w:p>
        </w:tc>
      </w:tr>
      <w:tr>
        <w:tc>
          <w:tcPr>
            <w:tcW w:type="dxa" w:w="2880"/>
            <w:tcBorders>
              <w:top w:val="single" w:sz="4" w:color="BFBFBF"/>
              <w:left w:val="single" w:sz="4" w:color="BFBFBF"/>
              <w:bottom w:val="single" w:sz="4" w:color="BFBFBF"/>
              <w:right w:val="single" w:sz="4" w:color="BFBFBF"/>
            </w:tcBorders>
          </w:tcPr>
          <w:p>
            <w:r/>
            <w:r>
              <w:rPr>
                <w:sz w:val="20"/>
              </w:rPr>
              <w:t>Operational risk</w:t>
            </w:r>
          </w:p>
        </w:tc>
        <w:tc>
          <w:tcPr>
            <w:tcW w:type="dxa" w:w="6624"/>
            <w:tcBorders>
              <w:top w:val="single" w:sz="4" w:color="BFBFBF"/>
              <w:left w:val="single" w:sz="4" w:color="BFBFBF"/>
              <w:bottom w:val="single" w:sz="4" w:color="BFBFBF"/>
              <w:right w:val="single" w:sz="4" w:color="BFBFBF"/>
            </w:tcBorders>
          </w:tcPr>
          <w:p>
            <w:r/>
            <w:r>
              <w:rPr>
                <w:sz w:val="20"/>
              </w:rPr>
              <w:t>The risk of losing money because of how the business is run. That covers a mistake, a process that fails, a system that goes down, or a person acting dishonestly.</w:t>
            </w:r>
          </w:p>
        </w:tc>
      </w:tr>
      <w:tr>
        <w:tc>
          <w:tcPr>
            <w:tcW w:type="dxa" w:w="2880"/>
            <w:tcBorders>
              <w:top w:val="single" w:sz="4" w:color="BFBFBF"/>
              <w:left w:val="single" w:sz="4" w:color="BFBFBF"/>
              <w:bottom w:val="single" w:sz="4" w:color="BFBFBF"/>
              <w:right w:val="single" w:sz="4" w:color="BFBFBF"/>
            </w:tcBorders>
            <w:shd w:val="clear" w:color="auto" w:fill="F2F2F2"/>
          </w:tcPr>
          <w:p>
            <w:r/>
            <w:r>
              <w:rPr>
                <w:sz w:val="20"/>
              </w:rPr>
              <w:t>Failure mode</w:t>
            </w:r>
          </w:p>
        </w:tc>
        <w:tc>
          <w:tcPr>
            <w:tcW w:type="dxa" w:w="6624"/>
            <w:tcBorders>
              <w:top w:val="single" w:sz="4" w:color="BFBFBF"/>
              <w:left w:val="single" w:sz="4" w:color="BFBFBF"/>
              <w:bottom w:val="single" w:sz="4" w:color="BFBFBF"/>
              <w:right w:val="single" w:sz="4" w:color="BFBFBF"/>
            </w:tcBorders>
            <w:shd w:val="clear" w:color="auto" w:fill="F2F2F2"/>
          </w:tcPr>
          <w:p>
            <w:r/>
            <w:r>
              <w:rPr>
                <w:sz w:val="20"/>
              </w:rPr>
              <w:t>The specific way a thing can go wrong, named precisely, rather than a general worry.</w:t>
            </w:r>
          </w:p>
        </w:tc>
      </w:tr>
      <w:tr>
        <w:tc>
          <w:tcPr>
            <w:tcW w:type="dxa" w:w="2880"/>
            <w:tcBorders>
              <w:top w:val="single" w:sz="4" w:color="BFBFBF"/>
              <w:left w:val="single" w:sz="4" w:color="BFBFBF"/>
              <w:bottom w:val="single" w:sz="4" w:color="BFBFBF"/>
              <w:right w:val="single" w:sz="4" w:color="BFBFBF"/>
            </w:tcBorders>
          </w:tcPr>
          <w:p>
            <w:r/>
            <w:r>
              <w:rPr>
                <w:sz w:val="20"/>
              </w:rPr>
              <w:t>Testnet</w:t>
            </w:r>
          </w:p>
        </w:tc>
        <w:tc>
          <w:tcPr>
            <w:tcW w:type="dxa" w:w="6624"/>
            <w:tcBorders>
              <w:top w:val="single" w:sz="4" w:color="BFBFBF"/>
              <w:left w:val="single" w:sz="4" w:color="BFBFBF"/>
              <w:bottom w:val="single" w:sz="4" w:color="BFBFBF"/>
              <w:right w:val="single" w:sz="4" w:color="BFBFBF"/>
            </w:tcBorders>
          </w:tcPr>
          <w:p>
            <w:r/>
            <w:r>
              <w:rPr>
                <w:sz w:val="20"/>
              </w:rPr>
              <w:t>A practice copy of a blockchain that uses worthless test coins, so you can try things without risking real money.</w:t>
            </w:r>
          </w:p>
        </w:tc>
      </w:tr>
      <w:tr>
        <w:tc>
          <w:tcPr>
            <w:tcW w:type="dxa" w:w="2880"/>
            <w:tcBorders>
              <w:top w:val="single" w:sz="4" w:color="BFBFBF"/>
              <w:left w:val="single" w:sz="4" w:color="BFBFBF"/>
              <w:bottom w:val="single" w:sz="4" w:color="BFBFBF"/>
              <w:right w:val="single" w:sz="4" w:color="BFBFBF"/>
            </w:tcBorders>
            <w:shd w:val="clear" w:color="auto" w:fill="F2F2F2"/>
          </w:tcPr>
          <w:p>
            <w:r/>
            <w:r>
              <w:rPr>
                <w:sz w:val="20"/>
              </w:rPr>
              <w:t>Mainnet</w:t>
            </w:r>
          </w:p>
        </w:tc>
        <w:tc>
          <w:tcPr>
            <w:tcW w:type="dxa" w:w="6624"/>
            <w:tcBorders>
              <w:top w:val="single" w:sz="4" w:color="BFBFBF"/>
              <w:left w:val="single" w:sz="4" w:color="BFBFBF"/>
              <w:bottom w:val="single" w:sz="4" w:color="BFBFBF"/>
              <w:right w:val="single" w:sz="4" w:color="BFBFBF"/>
            </w:tcBorders>
            <w:shd w:val="clear" w:color="auto" w:fill="F2F2F2"/>
          </w:tcPr>
          <w:p>
            <w:r/>
            <w:r>
              <w:rPr>
                <w:sz w:val="20"/>
              </w:rPr>
              <w:t>The real, live blockchain, where the coins have real value.</w:t>
            </w:r>
          </w:p>
        </w:tc>
      </w:tr>
      <w:tr>
        <w:tc>
          <w:tcPr>
            <w:tcW w:type="dxa" w:w="2880"/>
            <w:tcBorders>
              <w:top w:val="single" w:sz="4" w:color="BFBFBF"/>
              <w:left w:val="single" w:sz="4" w:color="BFBFBF"/>
              <w:bottom w:val="single" w:sz="4" w:color="BFBFBF"/>
              <w:right w:val="single" w:sz="4" w:color="BFBFBF"/>
            </w:tcBorders>
          </w:tcPr>
          <w:p>
            <w:r/>
            <w:r>
              <w:rPr>
                <w:sz w:val="20"/>
              </w:rPr>
              <w:t>Faucet</w:t>
            </w:r>
          </w:p>
        </w:tc>
        <w:tc>
          <w:tcPr>
            <w:tcW w:type="dxa" w:w="6624"/>
            <w:tcBorders>
              <w:top w:val="single" w:sz="4" w:color="BFBFBF"/>
              <w:left w:val="single" w:sz="4" w:color="BFBFBF"/>
              <w:bottom w:val="single" w:sz="4" w:color="BFBFBF"/>
              <w:right w:val="single" w:sz="4" w:color="BFBFBF"/>
            </w:tcBorders>
          </w:tcPr>
          <w:p>
            <w:r/>
            <w:r>
              <w:rPr>
                <w:sz w:val="20"/>
              </w:rPr>
              <w:t>A website that hands out free testnet coins, so you can practise without spending anything. The coins it gives out have no value.</w:t>
            </w:r>
          </w:p>
        </w:tc>
      </w:tr>
      <w:tr>
        <w:tc>
          <w:tcPr>
            <w:tcW w:type="dxa" w:w="2880"/>
            <w:tcBorders>
              <w:top w:val="single" w:sz="4" w:color="BFBFBF"/>
              <w:left w:val="single" w:sz="4" w:color="BFBFBF"/>
              <w:bottom w:val="single" w:sz="4" w:color="BFBFBF"/>
              <w:right w:val="single" w:sz="4" w:color="BFBFBF"/>
            </w:tcBorders>
            <w:shd w:val="clear" w:color="auto" w:fill="F2F2F2"/>
          </w:tcPr>
          <w:p>
            <w:r/>
            <w:r>
              <w:rPr>
                <w:sz w:val="20"/>
              </w:rPr>
              <w:t>Self-custody</w:t>
            </w:r>
          </w:p>
        </w:tc>
        <w:tc>
          <w:tcPr>
            <w:tcW w:type="dxa" w:w="6624"/>
            <w:tcBorders>
              <w:top w:val="single" w:sz="4" w:color="BFBFBF"/>
              <w:left w:val="single" w:sz="4" w:color="BFBFBF"/>
              <w:bottom w:val="single" w:sz="4" w:color="BFBFBF"/>
              <w:right w:val="single" w:sz="4" w:color="BFBFBF"/>
            </w:tcBorders>
            <w:shd w:val="clear" w:color="auto" w:fill="F2F2F2"/>
          </w:tcPr>
          <w:p>
            <w:r/>
            <w:r>
              <w:rPr>
                <w:sz w:val="20"/>
              </w:rPr>
              <w:t>you hold your own keys</w:t>
            </w:r>
          </w:p>
        </w:tc>
      </w:tr>
      <w:tr>
        <w:tc>
          <w:tcPr>
            <w:tcW w:type="dxa" w:w="2880"/>
            <w:tcBorders>
              <w:top w:val="single" w:sz="4" w:color="BFBFBF"/>
              <w:left w:val="single" w:sz="4" w:color="BFBFBF"/>
              <w:bottom w:val="single" w:sz="4" w:color="BFBFBF"/>
              <w:right w:val="single" w:sz="4" w:color="BFBFBF"/>
            </w:tcBorders>
          </w:tcPr>
          <w:p>
            <w:r/>
            <w:r>
              <w:rPr>
                <w:sz w:val="20"/>
              </w:rPr>
              <w:t>Seed phrase</w:t>
            </w:r>
          </w:p>
        </w:tc>
        <w:tc>
          <w:tcPr>
            <w:tcW w:type="dxa" w:w="6624"/>
            <w:tcBorders>
              <w:top w:val="single" w:sz="4" w:color="BFBFBF"/>
              <w:left w:val="single" w:sz="4" w:color="BFBFBF"/>
              <w:bottom w:val="single" w:sz="4" w:color="BFBFBF"/>
              <w:right w:val="single" w:sz="4" w:color="BFBFBF"/>
            </w:tcBorders>
          </w:tcPr>
          <w:p>
            <w:r/>
            <w:r>
              <w:rPr>
                <w:sz w:val="20"/>
              </w:rPr>
              <w:t>words that regenerate all keys</w:t>
            </w:r>
          </w:p>
        </w:tc>
      </w:tr>
      <w:tr>
        <w:tc>
          <w:tcPr>
            <w:tcW w:type="dxa" w:w="2880"/>
            <w:tcBorders>
              <w:top w:val="single" w:sz="4" w:color="BFBFBF"/>
              <w:left w:val="single" w:sz="4" w:color="BFBFBF"/>
              <w:bottom w:val="single" w:sz="4" w:color="BFBFBF"/>
              <w:right w:val="single" w:sz="4" w:color="BFBFBF"/>
            </w:tcBorders>
            <w:shd w:val="clear" w:color="auto" w:fill="F2F2F2"/>
          </w:tcPr>
          <w:p>
            <w:r/>
            <w:r>
              <w:rPr>
                <w:sz w:val="20"/>
              </w:rPr>
              <w:t>Hot wallet</w:t>
            </w:r>
          </w:p>
        </w:tc>
        <w:tc>
          <w:tcPr>
            <w:tcW w:type="dxa" w:w="6624"/>
            <w:tcBorders>
              <w:top w:val="single" w:sz="4" w:color="BFBFBF"/>
              <w:left w:val="single" w:sz="4" w:color="BFBFBF"/>
              <w:bottom w:val="single" w:sz="4" w:color="BFBFBF"/>
              <w:right w:val="single" w:sz="4" w:color="BFBFBF"/>
            </w:tcBorders>
            <w:shd w:val="clear" w:color="auto" w:fill="F2F2F2"/>
          </w:tcPr>
          <w:p>
            <w:r/>
            <w:r>
              <w:rPr>
                <w:sz w:val="20"/>
              </w:rPr>
              <w:t>online wallet</w:t>
            </w:r>
          </w:p>
        </w:tc>
      </w:tr>
      <w:tr>
        <w:tc>
          <w:tcPr>
            <w:tcW w:type="dxa" w:w="2880"/>
            <w:tcBorders>
              <w:top w:val="single" w:sz="4" w:color="BFBFBF"/>
              <w:left w:val="single" w:sz="4" w:color="BFBFBF"/>
              <w:bottom w:val="single" w:sz="4" w:color="BFBFBF"/>
              <w:right w:val="single" w:sz="4" w:color="BFBFBF"/>
            </w:tcBorders>
          </w:tcPr>
          <w:p>
            <w:r/>
            <w:r>
              <w:rPr>
                <w:sz w:val="20"/>
              </w:rPr>
              <w:t>Multi-sig</w:t>
            </w:r>
          </w:p>
        </w:tc>
        <w:tc>
          <w:tcPr>
            <w:tcW w:type="dxa" w:w="6624"/>
            <w:tcBorders>
              <w:top w:val="single" w:sz="4" w:color="BFBFBF"/>
              <w:left w:val="single" w:sz="4" w:color="BFBFBF"/>
              <w:bottom w:val="single" w:sz="4" w:color="BFBFBF"/>
              <w:right w:val="single" w:sz="4" w:color="BFBFBF"/>
            </w:tcBorders>
          </w:tcPr>
          <w:p>
            <w:r/>
            <w:r>
              <w:rPr>
                <w:sz w:val="20"/>
              </w:rPr>
              <w:t>several separate keys must approve before funds move, for example two out of three</w:t>
            </w:r>
          </w:p>
        </w:tc>
      </w:tr>
      <w:tr>
        <w:tc>
          <w:tcPr>
            <w:tcW w:type="dxa" w:w="2880"/>
            <w:tcBorders>
              <w:top w:val="single" w:sz="4" w:color="BFBFBF"/>
              <w:left w:val="single" w:sz="4" w:color="BFBFBF"/>
              <w:bottom w:val="single" w:sz="4" w:color="BFBFBF"/>
              <w:right w:val="single" w:sz="4" w:color="BFBFBF"/>
            </w:tcBorders>
            <w:shd w:val="clear" w:color="auto" w:fill="F2F2F2"/>
          </w:tcPr>
          <w:p>
            <w:r/>
            <w:r>
              <w:rPr>
                <w:sz w:val="20"/>
              </w:rPr>
              <w:t>Central Bank of Bahrain (CBB)</w:t>
            </w:r>
          </w:p>
        </w:tc>
        <w:tc>
          <w:tcPr>
            <w:tcW w:type="dxa" w:w="6624"/>
            <w:tcBorders>
              <w:top w:val="single" w:sz="4" w:color="BFBFBF"/>
              <w:left w:val="single" w:sz="4" w:color="BFBFBF"/>
              <w:bottom w:val="single" w:sz="4" w:color="BFBFBF"/>
              <w:right w:val="single" w:sz="4" w:color="BFBFBF"/>
            </w:tcBorders>
            <w:shd w:val="clear" w:color="auto" w:fill="F2F2F2"/>
          </w:tcPr>
          <w:p>
            <w:r/>
            <w:r>
              <w:rPr>
                <w:sz w:val="20"/>
              </w:rPr>
              <w:t>Bahrain's financial regulator; it decides who may run a financial business here</w:t>
            </w:r>
          </w:p>
        </w:tc>
      </w:tr>
      <w:tr>
        <w:tc>
          <w:tcPr>
            <w:tcW w:type="dxa" w:w="2880"/>
            <w:tcBorders>
              <w:top w:val="single" w:sz="4" w:color="BFBFBF"/>
              <w:left w:val="single" w:sz="4" w:color="BFBFBF"/>
              <w:bottom w:val="single" w:sz="4" w:color="BFBFBF"/>
              <w:right w:val="single" w:sz="4" w:color="BFBFBF"/>
            </w:tcBorders>
          </w:tcPr>
          <w:p>
            <w:r/>
            <w:r>
              <w:rPr>
                <w:sz w:val="20"/>
              </w:rPr>
              <w:t>ERC-20 (ERC-20)</w:t>
            </w:r>
          </w:p>
        </w:tc>
        <w:tc>
          <w:tcPr>
            <w:tcW w:type="dxa" w:w="6624"/>
            <w:tcBorders>
              <w:top w:val="single" w:sz="4" w:color="BFBFBF"/>
              <w:left w:val="single" w:sz="4" w:color="BFBFBF"/>
              <w:bottom w:val="single" w:sz="4" w:color="BFBFBF"/>
              <w:right w:val="single" w:sz="4" w:color="BFBFBF"/>
            </w:tcBorders>
          </w:tcPr>
          <w:p>
            <w:r/>
            <w:r>
              <w:rPr>
                <w:sz w:val="20"/>
              </w:rPr>
              <w:t>the common standard for tokens issued on Ethereum</w:t>
            </w:r>
          </w:p>
        </w:tc>
      </w:tr>
    </w:tbl>
    <w:p>
      <w:pPr>
        <w:spacing w:before="200" w:after="80"/>
      </w:pPr>
      <w:r>
        <w:rPr>
          <w:b/>
          <w:color w:val="1F4E79"/>
          <w:sz w:val="26"/>
        </w:rPr>
        <w:t>Guiding questions (answer these in your worksheet)</w:t>
      </w:r>
    </w:p>
    <w:p>
      <w:pPr>
        <w:spacing w:after="40"/>
        <w:ind w:left="432" w:hanging="216"/>
      </w:pPr>
      <w:r>
        <w:rPr>
          <w:sz w:val="22"/>
        </w:rPr>
        <w:t>•  Why is 'not your keys, not your coins' true?</w:t>
      </w:r>
    </w:p>
    <w:p>
      <w:pPr>
        <w:spacing w:after="40"/>
        <w:ind w:left="432" w:hanging="216"/>
      </w:pPr>
      <w:r>
        <w:rPr>
          <w:sz w:val="22"/>
        </w:rPr>
        <w:t>•  Rank custodial, hot self-custody and cold multi-sig by operational risk, and say why.</w:t>
      </w:r>
    </w:p>
    <w:p>
      <w:pPr>
        <w:spacing w:after="40"/>
        <w:ind w:left="432" w:hanging="216"/>
      </w:pPr>
      <w:r>
        <w:rPr>
          <w:sz w:val="22"/>
        </w:rPr>
        <w:t>•  What is the one failure that has no recovery, and how do you defend against it?</w:t>
      </w:r>
    </w:p>
    <w:p>
      <w:pPr>
        <w:spacing w:before="200" w:after="80"/>
      </w:pPr>
      <w:r>
        <w:rPr>
          <w:b/>
          <w:color w:val="1F4E79"/>
          <w:sz w:val="26"/>
        </w:rPr>
        <w:t>What to extract</w:t>
      </w:r>
    </w:p>
    <w:p>
      <w:r>
        <w:rPr>
          <w:b w:val="0"/>
          <w:i w:val="0"/>
          <w:sz w:val="22"/>
        </w:rPr>
        <w:t>One rule you would put at the top of a firm's key-management policy.</w:t>
      </w:r>
    </w:p>
    <w:p>
      <w:r>
        <w:rPr>
          <w:b w:val="0"/>
          <w:i/>
          <w:sz w:val="18"/>
        </w:rPr>
        <w:t>Sources: Drescher, D. (2026). Blockchain basics (2nd ed.), Steps 14-18. Apress / Springer Nature.; MetaMask / a self-custody wallet on the Sepolia testnet; Sepolia Etherscan.</w:t>
      </w:r>
    </w:p>
    <w:sectPr w:rsidR="00177B4F" w:rsidRPr="00177B4F">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CBBF6C" w14:textId="77777777" w:rsidR="00056D21" w:rsidRDefault="00056D21" w:rsidP="002F5FE7">
      <w:pPr>
        <w:spacing w:after="0" w:line="240" w:lineRule="auto"/>
      </w:pPr>
      <w:r>
        <w:separator/>
      </w:r>
    </w:p>
  </w:endnote>
  <w:endnote w:type="continuationSeparator" w:id="0">
    <w:p w14:paraId="57BF3AAD" w14:textId="77777777" w:rsidR="00056D21" w:rsidRDefault="00056D21" w:rsidP="002F5F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nil"/>
        <w:left w:val="nil"/>
        <w:bottom w:val="nil"/>
        <w:right w:val="nil"/>
        <w:insideH w:val="nil"/>
        <w:insideV w:val="nil"/>
      </w:tblBorders>
      <w:tblLook w:val="04A0" w:firstRow="1" w:lastRow="0" w:firstColumn="1" w:lastColumn="0" w:noHBand="0" w:noVBand="1"/>
    </w:tblPr>
    <w:tblGrid>
      <w:gridCol w:w="4680"/>
      <w:gridCol w:w="4680"/>
    </w:tblGrid>
    <w:tr w:rsidR="00C90831" w14:paraId="300F935E" w14:textId="77777777">
      <w:tc>
        <w:tcPr>
          <w:tcW w:w="2500" w:type="pct"/>
          <w:tcBorders>
            <w:top w:val="nil"/>
            <w:left w:val="nil"/>
            <w:bottom w:val="nil"/>
            <w:right w:val="nil"/>
          </w:tcBorders>
        </w:tcPr>
        <w:p w14:paraId="6283315C" w14:textId="77777777" w:rsidR="00C90831" w:rsidRDefault="00056D21">
          <w:pPr>
            <w:spacing w:after="0"/>
          </w:pPr>
          <w:r>
            <w:rPr>
              <w:color w:val="808080"/>
              <w:sz w:val="18"/>
            </w:rPr>
            <w:t>Bassam Bukhowa</w:t>
          </w:r>
        </w:p>
      </w:tc>
      <w:tc>
        <w:tcPr>
          <w:tcW w:w="2500" w:type="pct"/>
          <w:tcBorders>
            <w:top w:val="nil"/>
            <w:left w:val="nil"/>
            <w:bottom w:val="nil"/>
            <w:right w:val="nil"/>
          </w:tcBorders>
        </w:tcPr>
        <w:p w14:paraId="5E099114" w14:textId="77777777" w:rsidR="00C90831" w:rsidRDefault="00056D21">
          <w:pPr>
            <w:spacing w:after="0"/>
            <w:jc w:val="right"/>
          </w:pPr>
          <w:r>
            <w:rPr>
              <w:color w:val="808080"/>
              <w:sz w:val="18"/>
            </w:rPr>
            <w:t xml:space="preserve">Page </w:t>
          </w:r>
          <w:r>
            <w:rPr>
              <w:color w:val="808080"/>
              <w:sz w:val="18"/>
            </w:rPr>
            <w:fldChar w:fldCharType="begin"/>
          </w:r>
          <w:r>
            <w:rPr>
              <w:color w:val="808080"/>
              <w:sz w:val="18"/>
            </w:rPr>
            <w:instrText>PAGE</w:instrText>
          </w:r>
          <w:r>
            <w:rPr>
              <w:color w:val="808080"/>
              <w:sz w:val="18"/>
            </w:rPr>
            <w:fldChar w:fldCharType="end"/>
          </w:r>
          <w:r>
            <w:rPr>
              <w:color w:val="808080"/>
              <w:sz w:val="18"/>
            </w:rPr>
            <w:t xml:space="preserve"> of </w:t>
          </w:r>
          <w:r>
            <w:rPr>
              <w:color w:val="808080"/>
              <w:sz w:val="18"/>
            </w:rPr>
            <w:fldChar w:fldCharType="begin"/>
          </w:r>
          <w:r>
            <w:rPr>
              <w:color w:val="808080"/>
              <w:sz w:val="18"/>
            </w:rPr>
            <w:instrText>NUMPAGES</w:instrText>
          </w:r>
          <w:r>
            <w:rPr>
              <w:color w:val="808080"/>
              <w:sz w:val="18"/>
            </w:rPr>
            <w:fldChar w:fldCharType="end"/>
          </w:r>
        </w:p>
      </w:tc>
    </w:tr>
  </w:tbl>
  <w:p w14:paraId="60955497" w14:textId="77777777" w:rsidR="00C90831" w:rsidRDefault="00C90831">
    <w:pPr>
      <w:spacing w:after="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nil"/>
        <w:left w:val="nil"/>
        <w:bottom w:val="nil"/>
        <w:right w:val="nil"/>
        <w:insideH w:val="nil"/>
        <w:insideV w:val="nil"/>
      </w:tblBorders>
      <w:tblLook w:val="04A0" w:firstRow="1" w:lastRow="0" w:firstColumn="1" w:lastColumn="0" w:noHBand="0" w:noVBand="1"/>
    </w:tblPr>
    <w:tblGrid>
      <w:gridCol w:w="4680"/>
      <w:gridCol w:w="4680"/>
    </w:tblGrid>
    <w:tr w:rsidR="00C90831" w14:paraId="3BF91A01" w14:textId="77777777">
      <w:tc>
        <w:tcPr>
          <w:tcW w:w="2500" w:type="pct"/>
          <w:tcBorders>
            <w:top w:val="nil"/>
            <w:left w:val="nil"/>
            <w:bottom w:val="nil"/>
            <w:right w:val="nil"/>
          </w:tcBorders>
        </w:tcPr>
        <w:p w14:paraId="7B9EC296" w14:textId="77777777" w:rsidR="00C90831" w:rsidRDefault="00056D21">
          <w:pPr>
            <w:spacing w:after="0"/>
          </w:pPr>
          <w:r>
            <w:rPr>
              <w:color w:val="808080"/>
              <w:sz w:val="18"/>
            </w:rPr>
            <w:t>Bassam Bukhowa</w:t>
          </w:r>
        </w:p>
      </w:tc>
      <w:tc>
        <w:tcPr>
          <w:tcW w:w="2500" w:type="pct"/>
          <w:tcBorders>
            <w:top w:val="nil"/>
            <w:left w:val="nil"/>
            <w:bottom w:val="nil"/>
            <w:right w:val="nil"/>
          </w:tcBorders>
        </w:tcPr>
        <w:p w14:paraId="149BE6FC" w14:textId="02B43803" w:rsidR="00C90831" w:rsidRDefault="00056D21">
          <w:pPr>
            <w:spacing w:after="0"/>
            <w:jc w:val="right"/>
          </w:pPr>
          <w:r>
            <w:rPr>
              <w:color w:val="808080"/>
              <w:sz w:val="18"/>
            </w:rPr>
            <w:t xml:space="preserve">Page </w:t>
          </w:r>
          <w:r>
            <w:rPr>
              <w:color w:val="808080"/>
              <w:sz w:val="18"/>
            </w:rPr>
            <w:fldChar w:fldCharType="begin"/>
          </w:r>
          <w:r>
            <w:rPr>
              <w:color w:val="808080"/>
              <w:sz w:val="18"/>
            </w:rPr>
            <w:instrText>PAGE</w:instrText>
          </w:r>
          <w:r w:rsidR="000A5244">
            <w:rPr>
              <w:color w:val="808080"/>
              <w:sz w:val="18"/>
            </w:rPr>
            <w:fldChar w:fldCharType="separate"/>
          </w:r>
          <w:r w:rsidR="000A5244">
            <w:rPr>
              <w:noProof/>
              <w:color w:val="808080"/>
              <w:sz w:val="18"/>
            </w:rPr>
            <w:t>1</w:t>
          </w:r>
          <w:r>
            <w:rPr>
              <w:color w:val="808080"/>
              <w:sz w:val="18"/>
            </w:rPr>
            <w:fldChar w:fldCharType="end"/>
          </w:r>
          <w:r>
            <w:rPr>
              <w:color w:val="808080"/>
              <w:sz w:val="18"/>
            </w:rPr>
            <w:t xml:space="preserve"> of </w:t>
          </w:r>
          <w:r>
            <w:rPr>
              <w:color w:val="808080"/>
              <w:sz w:val="18"/>
            </w:rPr>
            <w:fldChar w:fldCharType="begin"/>
          </w:r>
          <w:r>
            <w:rPr>
              <w:color w:val="808080"/>
              <w:sz w:val="18"/>
            </w:rPr>
            <w:instrText>NUMPAGES</w:instrText>
          </w:r>
          <w:r w:rsidR="000A5244">
            <w:rPr>
              <w:color w:val="808080"/>
              <w:sz w:val="18"/>
            </w:rPr>
            <w:fldChar w:fldCharType="separate"/>
          </w:r>
          <w:r w:rsidR="000A5244">
            <w:rPr>
              <w:noProof/>
              <w:color w:val="808080"/>
              <w:sz w:val="18"/>
            </w:rPr>
            <w:t>2</w:t>
          </w:r>
          <w:r>
            <w:rPr>
              <w:color w:val="808080"/>
              <w:sz w:val="18"/>
            </w:rPr>
            <w:fldChar w:fldCharType="end"/>
          </w:r>
        </w:p>
      </w:tc>
    </w:tr>
  </w:tbl>
  <w:p w14:paraId="5E6764A4" w14:textId="77777777" w:rsidR="00C90831" w:rsidRDefault="00C90831">
    <w:pPr>
      <w:spacing w:after="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F4A12" w14:textId="77777777" w:rsidR="002F5FE7" w:rsidRDefault="002F5F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3C0329" w14:textId="77777777" w:rsidR="00056D21" w:rsidRDefault="00056D21" w:rsidP="002F5FE7">
      <w:pPr>
        <w:spacing w:after="0" w:line="240" w:lineRule="auto"/>
      </w:pPr>
      <w:r>
        <w:separator/>
      </w:r>
    </w:p>
  </w:footnote>
  <w:footnote w:type="continuationSeparator" w:id="0">
    <w:p w14:paraId="63267BCA" w14:textId="77777777" w:rsidR="00056D21" w:rsidRDefault="00056D21" w:rsidP="002F5F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42C03" w14:textId="77777777" w:rsidR="002F5FE7" w:rsidRDefault="002F5FE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jc w:val="center"/>
    </w:pPr>
    <w:r>
      <w:rPr>
        <w:b/>
        <w:color w:val="1F4E79"/>
        <w:sz w:val="20"/>
      </w:rPr>
      <w:t>IT8204 W3 Session 1 Structured Extract v1.0</w:t>
    </w:r>
  </w:p>
  <w:p w14:paraId="66F57A94" w14:textId="2B872235" w:rsidR="002F5FE7" w:rsidRDefault="002F5FE7" w:rsidP="002F5FE7">
    <w:pPr>
      <w:pStyle w:val="Header"/>
      <w:jc w:val="center"/>
    </w:pPr>
    <w:r>
      <w:rPr>
        <w:noProof/>
      </w:rPr>
      <w:drawing>
        <wp:inline distT="0" distB="0" distL="0" distR="0" wp14:anchorId="7A38259D" wp14:editId="5707FA7C">
          <wp:extent cx="3263900" cy="512094"/>
          <wp:effectExtent l="0" t="0" r="0" b="2540"/>
          <wp:docPr id="663283008" name="Picture 43" descr="A blue and black logo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283008" name="Picture 43" descr="A blue and black logo  Description automatically generated"/>
                  <pic:cNvPicPr>
                    <a:picLocks noChangeAspect="1" noChangeArrowheads="1"/>
                  </pic:cNvPicPr>
                </pic:nvPicPr>
                <pic:blipFill rotWithShape="1">
                  <a:blip r:embed="rId1">
                    <a:extLst>
                      <a:ext uri="{28A0092B-C50C-407E-A947-70E740481C1C}">
                        <a14:useLocalDpi xmlns:a14="http://schemas.microsoft.com/office/drawing/2010/main" val="0"/>
                      </a:ext>
                    </a:extLst>
                  </a:blip>
                  <a:srcRect t="18224" b="19132"/>
                  <a:stretch/>
                </pic:blipFill>
                <pic:spPr bwMode="auto">
                  <a:xfrm>
                    <a:off x="0" y="0"/>
                    <a:ext cx="3401864" cy="533740"/>
                  </a:xfrm>
                  <a:prstGeom prst="rect">
                    <a:avLst/>
                  </a:prstGeom>
                  <a:noFill/>
                  <a:ln>
                    <a:noFill/>
                  </a:ln>
                  <a:extLst>
                    <a:ext uri="{53640926-AAD7-44D8-BBD7-CCE9431645EC}">
                      <a14:shadowObscured xmlns:a14="http://schemas.microsoft.com/office/drawing/2010/main"/>
                    </a:ext>
                  </a:extLst>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93CF3" w14:textId="77777777" w:rsidR="002F5FE7" w:rsidRDefault="002F5FE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A63"/>
    <w:rsid w:val="000010CF"/>
    <w:rsid w:val="00004D5A"/>
    <w:rsid w:val="000222DE"/>
    <w:rsid w:val="00025D3C"/>
    <w:rsid w:val="00040220"/>
    <w:rsid w:val="000445E9"/>
    <w:rsid w:val="0004464D"/>
    <w:rsid w:val="000542D0"/>
    <w:rsid w:val="00056D21"/>
    <w:rsid w:val="000613CC"/>
    <w:rsid w:val="0006179C"/>
    <w:rsid w:val="00062890"/>
    <w:rsid w:val="00062ED6"/>
    <w:rsid w:val="00065F4F"/>
    <w:rsid w:val="0007019B"/>
    <w:rsid w:val="0007291A"/>
    <w:rsid w:val="00076BE7"/>
    <w:rsid w:val="00082BAA"/>
    <w:rsid w:val="0008625E"/>
    <w:rsid w:val="000927D4"/>
    <w:rsid w:val="00092C7B"/>
    <w:rsid w:val="00095FEA"/>
    <w:rsid w:val="000A5244"/>
    <w:rsid w:val="000B1215"/>
    <w:rsid w:val="000C15F0"/>
    <w:rsid w:val="000C26BA"/>
    <w:rsid w:val="000D11AB"/>
    <w:rsid w:val="000D5C71"/>
    <w:rsid w:val="000D5E80"/>
    <w:rsid w:val="000D61FF"/>
    <w:rsid w:val="000E19B7"/>
    <w:rsid w:val="000F1EBC"/>
    <w:rsid w:val="001067CF"/>
    <w:rsid w:val="00124BCE"/>
    <w:rsid w:val="0012779E"/>
    <w:rsid w:val="00132BD9"/>
    <w:rsid w:val="001369D9"/>
    <w:rsid w:val="001401E2"/>
    <w:rsid w:val="00140797"/>
    <w:rsid w:val="00141C2F"/>
    <w:rsid w:val="00154FDD"/>
    <w:rsid w:val="00164BA0"/>
    <w:rsid w:val="00166587"/>
    <w:rsid w:val="001667E1"/>
    <w:rsid w:val="00173153"/>
    <w:rsid w:val="0017444B"/>
    <w:rsid w:val="00177B4F"/>
    <w:rsid w:val="00187E7B"/>
    <w:rsid w:val="00191A66"/>
    <w:rsid w:val="00191E86"/>
    <w:rsid w:val="00192963"/>
    <w:rsid w:val="00193179"/>
    <w:rsid w:val="00195D89"/>
    <w:rsid w:val="001979CF"/>
    <w:rsid w:val="001A1933"/>
    <w:rsid w:val="001A3016"/>
    <w:rsid w:val="001B1F08"/>
    <w:rsid w:val="001C12F0"/>
    <w:rsid w:val="001C3926"/>
    <w:rsid w:val="001D027A"/>
    <w:rsid w:val="001D055A"/>
    <w:rsid w:val="001D1765"/>
    <w:rsid w:val="001E3D58"/>
    <w:rsid w:val="001E4B79"/>
    <w:rsid w:val="001E5742"/>
    <w:rsid w:val="001E61D4"/>
    <w:rsid w:val="001F3CFB"/>
    <w:rsid w:val="001F6C9C"/>
    <w:rsid w:val="0020063D"/>
    <w:rsid w:val="00207032"/>
    <w:rsid w:val="002124CE"/>
    <w:rsid w:val="00214FF4"/>
    <w:rsid w:val="00220AD5"/>
    <w:rsid w:val="00226DC0"/>
    <w:rsid w:val="00227381"/>
    <w:rsid w:val="002368C6"/>
    <w:rsid w:val="0024127E"/>
    <w:rsid w:val="00244300"/>
    <w:rsid w:val="00245FF7"/>
    <w:rsid w:val="00246922"/>
    <w:rsid w:val="002548B0"/>
    <w:rsid w:val="00255FF4"/>
    <w:rsid w:val="00266BF8"/>
    <w:rsid w:val="002675CB"/>
    <w:rsid w:val="002732BE"/>
    <w:rsid w:val="00273663"/>
    <w:rsid w:val="00273D19"/>
    <w:rsid w:val="002778F7"/>
    <w:rsid w:val="00281069"/>
    <w:rsid w:val="0028349B"/>
    <w:rsid w:val="002839C7"/>
    <w:rsid w:val="00286F43"/>
    <w:rsid w:val="00287CC6"/>
    <w:rsid w:val="00290E2C"/>
    <w:rsid w:val="00291149"/>
    <w:rsid w:val="00292009"/>
    <w:rsid w:val="002A33C3"/>
    <w:rsid w:val="002B374D"/>
    <w:rsid w:val="002B3E58"/>
    <w:rsid w:val="002B3E79"/>
    <w:rsid w:val="002B762A"/>
    <w:rsid w:val="002B7BCA"/>
    <w:rsid w:val="002C1BB7"/>
    <w:rsid w:val="002C2D19"/>
    <w:rsid w:val="002D74F7"/>
    <w:rsid w:val="002D7B2E"/>
    <w:rsid w:val="002D7DD0"/>
    <w:rsid w:val="002E2193"/>
    <w:rsid w:val="002E4868"/>
    <w:rsid w:val="002E6F45"/>
    <w:rsid w:val="002E766B"/>
    <w:rsid w:val="002E7EE6"/>
    <w:rsid w:val="002F1A85"/>
    <w:rsid w:val="002F3373"/>
    <w:rsid w:val="002F5FE7"/>
    <w:rsid w:val="0030165C"/>
    <w:rsid w:val="0031627B"/>
    <w:rsid w:val="003237BB"/>
    <w:rsid w:val="00327658"/>
    <w:rsid w:val="00334137"/>
    <w:rsid w:val="003353DE"/>
    <w:rsid w:val="00340F24"/>
    <w:rsid w:val="003444E8"/>
    <w:rsid w:val="003451DE"/>
    <w:rsid w:val="00345A01"/>
    <w:rsid w:val="00352FD0"/>
    <w:rsid w:val="0035506F"/>
    <w:rsid w:val="00355569"/>
    <w:rsid w:val="0035785B"/>
    <w:rsid w:val="00371501"/>
    <w:rsid w:val="00372319"/>
    <w:rsid w:val="0037271F"/>
    <w:rsid w:val="00372DF7"/>
    <w:rsid w:val="00376532"/>
    <w:rsid w:val="00390B2D"/>
    <w:rsid w:val="00393287"/>
    <w:rsid w:val="00395D3E"/>
    <w:rsid w:val="003A33C4"/>
    <w:rsid w:val="003A3CED"/>
    <w:rsid w:val="003A4636"/>
    <w:rsid w:val="003A4C81"/>
    <w:rsid w:val="003A51E0"/>
    <w:rsid w:val="003B52CC"/>
    <w:rsid w:val="003C0126"/>
    <w:rsid w:val="003C3239"/>
    <w:rsid w:val="003C619D"/>
    <w:rsid w:val="003C6429"/>
    <w:rsid w:val="003C79ED"/>
    <w:rsid w:val="003D09E2"/>
    <w:rsid w:val="003D67C8"/>
    <w:rsid w:val="003D7024"/>
    <w:rsid w:val="003E05E7"/>
    <w:rsid w:val="003F19A1"/>
    <w:rsid w:val="003F1CF2"/>
    <w:rsid w:val="003F1F69"/>
    <w:rsid w:val="003F3489"/>
    <w:rsid w:val="003F5448"/>
    <w:rsid w:val="0040240A"/>
    <w:rsid w:val="00403800"/>
    <w:rsid w:val="0040700E"/>
    <w:rsid w:val="00410BE5"/>
    <w:rsid w:val="00415AAD"/>
    <w:rsid w:val="00416B81"/>
    <w:rsid w:val="00434280"/>
    <w:rsid w:val="00434B1F"/>
    <w:rsid w:val="00446007"/>
    <w:rsid w:val="00451352"/>
    <w:rsid w:val="00456DC7"/>
    <w:rsid w:val="004623FD"/>
    <w:rsid w:val="00465602"/>
    <w:rsid w:val="00465B4F"/>
    <w:rsid w:val="004738E7"/>
    <w:rsid w:val="00481641"/>
    <w:rsid w:val="00481D22"/>
    <w:rsid w:val="0049264E"/>
    <w:rsid w:val="00493F57"/>
    <w:rsid w:val="00494282"/>
    <w:rsid w:val="0049761D"/>
    <w:rsid w:val="004B02F1"/>
    <w:rsid w:val="004B17ED"/>
    <w:rsid w:val="004B26AC"/>
    <w:rsid w:val="004B68F6"/>
    <w:rsid w:val="004C0E2D"/>
    <w:rsid w:val="004C2A29"/>
    <w:rsid w:val="004C3ED5"/>
    <w:rsid w:val="004D1A3A"/>
    <w:rsid w:val="004D30A3"/>
    <w:rsid w:val="004D4F25"/>
    <w:rsid w:val="004D72C7"/>
    <w:rsid w:val="004E70BF"/>
    <w:rsid w:val="004F014E"/>
    <w:rsid w:val="004F0A89"/>
    <w:rsid w:val="005074D6"/>
    <w:rsid w:val="005112B0"/>
    <w:rsid w:val="00512402"/>
    <w:rsid w:val="00516776"/>
    <w:rsid w:val="00525A9B"/>
    <w:rsid w:val="00530B1B"/>
    <w:rsid w:val="005341C3"/>
    <w:rsid w:val="00534512"/>
    <w:rsid w:val="00535960"/>
    <w:rsid w:val="0054142F"/>
    <w:rsid w:val="00541631"/>
    <w:rsid w:val="005455D5"/>
    <w:rsid w:val="00550F32"/>
    <w:rsid w:val="005511DF"/>
    <w:rsid w:val="00552AF1"/>
    <w:rsid w:val="00552BE5"/>
    <w:rsid w:val="00553753"/>
    <w:rsid w:val="00555D9E"/>
    <w:rsid w:val="005570D9"/>
    <w:rsid w:val="005724BE"/>
    <w:rsid w:val="0057457A"/>
    <w:rsid w:val="00580A88"/>
    <w:rsid w:val="00592991"/>
    <w:rsid w:val="00594C6E"/>
    <w:rsid w:val="005961A3"/>
    <w:rsid w:val="0059772F"/>
    <w:rsid w:val="005A0513"/>
    <w:rsid w:val="005A2A75"/>
    <w:rsid w:val="005A2F64"/>
    <w:rsid w:val="005A33CF"/>
    <w:rsid w:val="005C37BA"/>
    <w:rsid w:val="005C3CEA"/>
    <w:rsid w:val="005C3FF8"/>
    <w:rsid w:val="005C5246"/>
    <w:rsid w:val="005C640F"/>
    <w:rsid w:val="005D7DA1"/>
    <w:rsid w:val="005E6562"/>
    <w:rsid w:val="005F44AD"/>
    <w:rsid w:val="00610080"/>
    <w:rsid w:val="00611D46"/>
    <w:rsid w:val="006175EA"/>
    <w:rsid w:val="00621E1B"/>
    <w:rsid w:val="00622658"/>
    <w:rsid w:val="0062754F"/>
    <w:rsid w:val="00637153"/>
    <w:rsid w:val="00650CF2"/>
    <w:rsid w:val="00651D3F"/>
    <w:rsid w:val="0065262E"/>
    <w:rsid w:val="00652EA3"/>
    <w:rsid w:val="0065486B"/>
    <w:rsid w:val="0066010A"/>
    <w:rsid w:val="00663B53"/>
    <w:rsid w:val="006661E6"/>
    <w:rsid w:val="00666991"/>
    <w:rsid w:val="00682EE6"/>
    <w:rsid w:val="00683DBA"/>
    <w:rsid w:val="00691A83"/>
    <w:rsid w:val="00693414"/>
    <w:rsid w:val="006A3AB8"/>
    <w:rsid w:val="006B0028"/>
    <w:rsid w:val="006B09DF"/>
    <w:rsid w:val="006B1E83"/>
    <w:rsid w:val="006C5301"/>
    <w:rsid w:val="006D011B"/>
    <w:rsid w:val="006D759C"/>
    <w:rsid w:val="006E01A4"/>
    <w:rsid w:val="006E3734"/>
    <w:rsid w:val="006E4BC3"/>
    <w:rsid w:val="006E4F08"/>
    <w:rsid w:val="006E5CDE"/>
    <w:rsid w:val="006E5E61"/>
    <w:rsid w:val="006F2882"/>
    <w:rsid w:val="006F780D"/>
    <w:rsid w:val="007038D5"/>
    <w:rsid w:val="00705F9A"/>
    <w:rsid w:val="0070655F"/>
    <w:rsid w:val="007271B2"/>
    <w:rsid w:val="00733A40"/>
    <w:rsid w:val="007363AD"/>
    <w:rsid w:val="00740BE1"/>
    <w:rsid w:val="00741E5D"/>
    <w:rsid w:val="00742DCE"/>
    <w:rsid w:val="007432FF"/>
    <w:rsid w:val="00743C72"/>
    <w:rsid w:val="007454BA"/>
    <w:rsid w:val="00746839"/>
    <w:rsid w:val="0075245D"/>
    <w:rsid w:val="00754202"/>
    <w:rsid w:val="00761C27"/>
    <w:rsid w:val="007644F0"/>
    <w:rsid w:val="0076512D"/>
    <w:rsid w:val="00767B48"/>
    <w:rsid w:val="00775487"/>
    <w:rsid w:val="007846B2"/>
    <w:rsid w:val="00790698"/>
    <w:rsid w:val="0079410D"/>
    <w:rsid w:val="00794C6B"/>
    <w:rsid w:val="00795F2E"/>
    <w:rsid w:val="007A1450"/>
    <w:rsid w:val="007A1AF5"/>
    <w:rsid w:val="007A5996"/>
    <w:rsid w:val="007B2D32"/>
    <w:rsid w:val="007B484A"/>
    <w:rsid w:val="007B5C1C"/>
    <w:rsid w:val="007B7430"/>
    <w:rsid w:val="007B7C1D"/>
    <w:rsid w:val="007C13F4"/>
    <w:rsid w:val="007D001F"/>
    <w:rsid w:val="007D44E7"/>
    <w:rsid w:val="007E39C8"/>
    <w:rsid w:val="007E3B0B"/>
    <w:rsid w:val="007E44C4"/>
    <w:rsid w:val="007E60CC"/>
    <w:rsid w:val="007F341E"/>
    <w:rsid w:val="007F7FC1"/>
    <w:rsid w:val="00803FF8"/>
    <w:rsid w:val="008061CC"/>
    <w:rsid w:val="0080658B"/>
    <w:rsid w:val="0081132B"/>
    <w:rsid w:val="0082027A"/>
    <w:rsid w:val="00822D45"/>
    <w:rsid w:val="008310A7"/>
    <w:rsid w:val="00846FA1"/>
    <w:rsid w:val="00847FB4"/>
    <w:rsid w:val="00850670"/>
    <w:rsid w:val="00856042"/>
    <w:rsid w:val="0085791C"/>
    <w:rsid w:val="0085798E"/>
    <w:rsid w:val="008607F1"/>
    <w:rsid w:val="00872395"/>
    <w:rsid w:val="0088483A"/>
    <w:rsid w:val="00890DA7"/>
    <w:rsid w:val="008A2860"/>
    <w:rsid w:val="008A6060"/>
    <w:rsid w:val="008B6B6A"/>
    <w:rsid w:val="008B6EA9"/>
    <w:rsid w:val="008C0A3F"/>
    <w:rsid w:val="008C39B3"/>
    <w:rsid w:val="008C47BC"/>
    <w:rsid w:val="008D4404"/>
    <w:rsid w:val="008F0353"/>
    <w:rsid w:val="008F250D"/>
    <w:rsid w:val="008F5394"/>
    <w:rsid w:val="008F667D"/>
    <w:rsid w:val="00906B5A"/>
    <w:rsid w:val="00906D62"/>
    <w:rsid w:val="00906FC2"/>
    <w:rsid w:val="0091247D"/>
    <w:rsid w:val="00921C43"/>
    <w:rsid w:val="0092311E"/>
    <w:rsid w:val="00931A63"/>
    <w:rsid w:val="0093467A"/>
    <w:rsid w:val="00935E7C"/>
    <w:rsid w:val="00942586"/>
    <w:rsid w:val="0094571A"/>
    <w:rsid w:val="0094645B"/>
    <w:rsid w:val="0094737C"/>
    <w:rsid w:val="009507B6"/>
    <w:rsid w:val="00955E8A"/>
    <w:rsid w:val="009600F1"/>
    <w:rsid w:val="0096046F"/>
    <w:rsid w:val="00972CAE"/>
    <w:rsid w:val="00975397"/>
    <w:rsid w:val="00985BCD"/>
    <w:rsid w:val="00985C70"/>
    <w:rsid w:val="0099209E"/>
    <w:rsid w:val="009934A9"/>
    <w:rsid w:val="0099380F"/>
    <w:rsid w:val="00995E60"/>
    <w:rsid w:val="009A1E73"/>
    <w:rsid w:val="009A74AA"/>
    <w:rsid w:val="009B1FD9"/>
    <w:rsid w:val="009B38FA"/>
    <w:rsid w:val="009B4904"/>
    <w:rsid w:val="009C00D6"/>
    <w:rsid w:val="009C4AB0"/>
    <w:rsid w:val="009D3427"/>
    <w:rsid w:val="009D6E8B"/>
    <w:rsid w:val="009E7B62"/>
    <w:rsid w:val="009F2938"/>
    <w:rsid w:val="009F6365"/>
    <w:rsid w:val="009F79E9"/>
    <w:rsid w:val="009F7D43"/>
    <w:rsid w:val="00A0066F"/>
    <w:rsid w:val="00A0219B"/>
    <w:rsid w:val="00A04945"/>
    <w:rsid w:val="00A14A65"/>
    <w:rsid w:val="00A162B9"/>
    <w:rsid w:val="00A21901"/>
    <w:rsid w:val="00A2345A"/>
    <w:rsid w:val="00A27845"/>
    <w:rsid w:val="00A334DF"/>
    <w:rsid w:val="00A34437"/>
    <w:rsid w:val="00A413D4"/>
    <w:rsid w:val="00A4377E"/>
    <w:rsid w:val="00A4658E"/>
    <w:rsid w:val="00A50E0E"/>
    <w:rsid w:val="00A52186"/>
    <w:rsid w:val="00A52BF8"/>
    <w:rsid w:val="00A54A47"/>
    <w:rsid w:val="00A54A9A"/>
    <w:rsid w:val="00A57EC5"/>
    <w:rsid w:val="00A60E36"/>
    <w:rsid w:val="00A70373"/>
    <w:rsid w:val="00A707EB"/>
    <w:rsid w:val="00A73EB8"/>
    <w:rsid w:val="00A76430"/>
    <w:rsid w:val="00A76DA1"/>
    <w:rsid w:val="00A812A1"/>
    <w:rsid w:val="00A81727"/>
    <w:rsid w:val="00A82793"/>
    <w:rsid w:val="00A83CFD"/>
    <w:rsid w:val="00A840A8"/>
    <w:rsid w:val="00A860B8"/>
    <w:rsid w:val="00A90D17"/>
    <w:rsid w:val="00A96C6B"/>
    <w:rsid w:val="00AA5E01"/>
    <w:rsid w:val="00AA7DF0"/>
    <w:rsid w:val="00AB2336"/>
    <w:rsid w:val="00AB3727"/>
    <w:rsid w:val="00AB63C8"/>
    <w:rsid w:val="00AB6B66"/>
    <w:rsid w:val="00AC39EE"/>
    <w:rsid w:val="00AD0E36"/>
    <w:rsid w:val="00AD2205"/>
    <w:rsid w:val="00AD221A"/>
    <w:rsid w:val="00AD3DDF"/>
    <w:rsid w:val="00AD442B"/>
    <w:rsid w:val="00AD5183"/>
    <w:rsid w:val="00AD7851"/>
    <w:rsid w:val="00AE23E1"/>
    <w:rsid w:val="00AE30E1"/>
    <w:rsid w:val="00AE4AAB"/>
    <w:rsid w:val="00AF4EE0"/>
    <w:rsid w:val="00B042CC"/>
    <w:rsid w:val="00B05A66"/>
    <w:rsid w:val="00B1295C"/>
    <w:rsid w:val="00B22658"/>
    <w:rsid w:val="00B26E21"/>
    <w:rsid w:val="00B31052"/>
    <w:rsid w:val="00B3164C"/>
    <w:rsid w:val="00B437E0"/>
    <w:rsid w:val="00B5043D"/>
    <w:rsid w:val="00B5520D"/>
    <w:rsid w:val="00B56D1B"/>
    <w:rsid w:val="00B57252"/>
    <w:rsid w:val="00B62FEB"/>
    <w:rsid w:val="00B6407B"/>
    <w:rsid w:val="00B66970"/>
    <w:rsid w:val="00B67F5D"/>
    <w:rsid w:val="00B745E1"/>
    <w:rsid w:val="00B80407"/>
    <w:rsid w:val="00B804E1"/>
    <w:rsid w:val="00B82251"/>
    <w:rsid w:val="00BA2276"/>
    <w:rsid w:val="00BA2557"/>
    <w:rsid w:val="00BA27D9"/>
    <w:rsid w:val="00BA600E"/>
    <w:rsid w:val="00BB0003"/>
    <w:rsid w:val="00BB487B"/>
    <w:rsid w:val="00BB79EF"/>
    <w:rsid w:val="00BC344A"/>
    <w:rsid w:val="00BC35E4"/>
    <w:rsid w:val="00BC71CB"/>
    <w:rsid w:val="00BE40AC"/>
    <w:rsid w:val="00BF0357"/>
    <w:rsid w:val="00C01F74"/>
    <w:rsid w:val="00C03F78"/>
    <w:rsid w:val="00C15D04"/>
    <w:rsid w:val="00C2352E"/>
    <w:rsid w:val="00C320ED"/>
    <w:rsid w:val="00C344F5"/>
    <w:rsid w:val="00C40D43"/>
    <w:rsid w:val="00C47B5C"/>
    <w:rsid w:val="00C5029A"/>
    <w:rsid w:val="00C531F0"/>
    <w:rsid w:val="00C66182"/>
    <w:rsid w:val="00C67998"/>
    <w:rsid w:val="00C721E4"/>
    <w:rsid w:val="00C75F60"/>
    <w:rsid w:val="00C762C8"/>
    <w:rsid w:val="00C82D12"/>
    <w:rsid w:val="00C8406C"/>
    <w:rsid w:val="00C90831"/>
    <w:rsid w:val="00C9471D"/>
    <w:rsid w:val="00CB1910"/>
    <w:rsid w:val="00CB68E1"/>
    <w:rsid w:val="00CC280F"/>
    <w:rsid w:val="00CC6699"/>
    <w:rsid w:val="00CD2663"/>
    <w:rsid w:val="00CD5F74"/>
    <w:rsid w:val="00CF48BE"/>
    <w:rsid w:val="00CF7D83"/>
    <w:rsid w:val="00D02ED9"/>
    <w:rsid w:val="00D04241"/>
    <w:rsid w:val="00D05173"/>
    <w:rsid w:val="00D17043"/>
    <w:rsid w:val="00D223B9"/>
    <w:rsid w:val="00D2726A"/>
    <w:rsid w:val="00D335D1"/>
    <w:rsid w:val="00D345A8"/>
    <w:rsid w:val="00D353BC"/>
    <w:rsid w:val="00D36468"/>
    <w:rsid w:val="00D43299"/>
    <w:rsid w:val="00D51435"/>
    <w:rsid w:val="00D57ADA"/>
    <w:rsid w:val="00D63984"/>
    <w:rsid w:val="00D91343"/>
    <w:rsid w:val="00D924FB"/>
    <w:rsid w:val="00D9473D"/>
    <w:rsid w:val="00DA60AC"/>
    <w:rsid w:val="00DD63AE"/>
    <w:rsid w:val="00DD6ECC"/>
    <w:rsid w:val="00DE2B37"/>
    <w:rsid w:val="00DE7E71"/>
    <w:rsid w:val="00DF69E0"/>
    <w:rsid w:val="00E2704F"/>
    <w:rsid w:val="00E27981"/>
    <w:rsid w:val="00E32807"/>
    <w:rsid w:val="00E3427B"/>
    <w:rsid w:val="00E4070B"/>
    <w:rsid w:val="00E4565A"/>
    <w:rsid w:val="00E471A9"/>
    <w:rsid w:val="00E50582"/>
    <w:rsid w:val="00E511D5"/>
    <w:rsid w:val="00E651C8"/>
    <w:rsid w:val="00E65D88"/>
    <w:rsid w:val="00E679EF"/>
    <w:rsid w:val="00E73E21"/>
    <w:rsid w:val="00E8117C"/>
    <w:rsid w:val="00E812D2"/>
    <w:rsid w:val="00E83D07"/>
    <w:rsid w:val="00E84181"/>
    <w:rsid w:val="00E87C2E"/>
    <w:rsid w:val="00E935CB"/>
    <w:rsid w:val="00E93C5A"/>
    <w:rsid w:val="00E96CD0"/>
    <w:rsid w:val="00EA27A5"/>
    <w:rsid w:val="00EA3E0C"/>
    <w:rsid w:val="00EA5B19"/>
    <w:rsid w:val="00EA5D37"/>
    <w:rsid w:val="00EA69E0"/>
    <w:rsid w:val="00EB6B2F"/>
    <w:rsid w:val="00EC10F6"/>
    <w:rsid w:val="00EC5C02"/>
    <w:rsid w:val="00ED196A"/>
    <w:rsid w:val="00ED3CA2"/>
    <w:rsid w:val="00EF647C"/>
    <w:rsid w:val="00F0254B"/>
    <w:rsid w:val="00F05DD1"/>
    <w:rsid w:val="00F067B1"/>
    <w:rsid w:val="00F155CA"/>
    <w:rsid w:val="00F27272"/>
    <w:rsid w:val="00F40A79"/>
    <w:rsid w:val="00F43451"/>
    <w:rsid w:val="00F449C0"/>
    <w:rsid w:val="00F47E80"/>
    <w:rsid w:val="00F5447C"/>
    <w:rsid w:val="00F60962"/>
    <w:rsid w:val="00F61643"/>
    <w:rsid w:val="00F61CDA"/>
    <w:rsid w:val="00F63945"/>
    <w:rsid w:val="00F65CC1"/>
    <w:rsid w:val="00F66063"/>
    <w:rsid w:val="00F70152"/>
    <w:rsid w:val="00F711D1"/>
    <w:rsid w:val="00F723EF"/>
    <w:rsid w:val="00F731FE"/>
    <w:rsid w:val="00F776FF"/>
    <w:rsid w:val="00F77C05"/>
    <w:rsid w:val="00F83E91"/>
    <w:rsid w:val="00F866FA"/>
    <w:rsid w:val="00F87E57"/>
    <w:rsid w:val="00F903B1"/>
    <w:rsid w:val="00F92C36"/>
    <w:rsid w:val="00F94F30"/>
    <w:rsid w:val="00FA1678"/>
    <w:rsid w:val="00FA4DE7"/>
    <w:rsid w:val="00FA7206"/>
    <w:rsid w:val="00FB00B7"/>
    <w:rsid w:val="00FB37AA"/>
    <w:rsid w:val="00FB4F08"/>
    <w:rsid w:val="00FB7FFD"/>
    <w:rsid w:val="00FC0DBC"/>
    <w:rsid w:val="00FF18F6"/>
    <w:rsid w:val="00FF3F7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BA3D5B"/>
  <w15:chartTrackingRefBased/>
  <w15:docId w15:val="{0B3D7D51-9680-49C3-94C2-9817F83CC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1A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1A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1A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1A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1A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1A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1A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1A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1A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1A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1A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1A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1A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1A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1A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1A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1A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1A63"/>
    <w:rPr>
      <w:rFonts w:eastAsiaTheme="majorEastAsia" w:cstheme="majorBidi"/>
      <w:color w:val="272727" w:themeColor="text1" w:themeTint="D8"/>
    </w:rPr>
  </w:style>
  <w:style w:type="paragraph" w:styleId="Title">
    <w:name w:val="Title"/>
    <w:basedOn w:val="Normal"/>
    <w:next w:val="Normal"/>
    <w:link w:val="TitleChar"/>
    <w:uiPriority w:val="10"/>
    <w:qFormat/>
    <w:rsid w:val="00931A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1A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1A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1A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1A63"/>
    <w:pPr>
      <w:spacing w:before="160"/>
      <w:jc w:val="center"/>
    </w:pPr>
    <w:rPr>
      <w:i/>
      <w:iCs/>
      <w:color w:val="404040" w:themeColor="text1" w:themeTint="BF"/>
    </w:rPr>
  </w:style>
  <w:style w:type="character" w:customStyle="1" w:styleId="QuoteChar">
    <w:name w:val="Quote Char"/>
    <w:basedOn w:val="DefaultParagraphFont"/>
    <w:link w:val="Quote"/>
    <w:uiPriority w:val="29"/>
    <w:rsid w:val="00931A63"/>
    <w:rPr>
      <w:i/>
      <w:iCs/>
      <w:color w:val="404040" w:themeColor="text1" w:themeTint="BF"/>
    </w:rPr>
  </w:style>
  <w:style w:type="paragraph" w:styleId="ListParagraph">
    <w:name w:val="List Paragraph"/>
    <w:basedOn w:val="Normal"/>
    <w:uiPriority w:val="34"/>
    <w:qFormat/>
    <w:rsid w:val="00931A63"/>
    <w:pPr>
      <w:ind w:left="720"/>
      <w:contextualSpacing/>
    </w:pPr>
  </w:style>
  <w:style w:type="character" w:styleId="IntenseEmphasis">
    <w:name w:val="Intense Emphasis"/>
    <w:basedOn w:val="DefaultParagraphFont"/>
    <w:uiPriority w:val="21"/>
    <w:qFormat/>
    <w:rsid w:val="00931A63"/>
    <w:rPr>
      <w:i/>
      <w:iCs/>
      <w:color w:val="0F4761" w:themeColor="accent1" w:themeShade="BF"/>
    </w:rPr>
  </w:style>
  <w:style w:type="paragraph" w:styleId="IntenseQuote">
    <w:name w:val="Intense Quote"/>
    <w:basedOn w:val="Normal"/>
    <w:next w:val="Normal"/>
    <w:link w:val="IntenseQuoteChar"/>
    <w:uiPriority w:val="30"/>
    <w:qFormat/>
    <w:rsid w:val="00931A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1A63"/>
    <w:rPr>
      <w:i/>
      <w:iCs/>
      <w:color w:val="0F4761" w:themeColor="accent1" w:themeShade="BF"/>
    </w:rPr>
  </w:style>
  <w:style w:type="character" w:styleId="IntenseReference">
    <w:name w:val="Intense Reference"/>
    <w:basedOn w:val="DefaultParagraphFont"/>
    <w:uiPriority w:val="32"/>
    <w:qFormat/>
    <w:rsid w:val="00931A63"/>
    <w:rPr>
      <w:b/>
      <w:bCs/>
      <w:smallCaps/>
      <w:color w:val="0F4761" w:themeColor="accent1" w:themeShade="BF"/>
      <w:spacing w:val="5"/>
    </w:rPr>
  </w:style>
  <w:style w:type="paragraph" w:styleId="Header">
    <w:name w:val="header"/>
    <w:basedOn w:val="Normal"/>
    <w:link w:val="HeaderChar"/>
    <w:uiPriority w:val="99"/>
    <w:unhideWhenUsed/>
    <w:rsid w:val="002F5F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F5FE7"/>
  </w:style>
  <w:style w:type="paragraph" w:styleId="Footer">
    <w:name w:val="footer"/>
    <w:basedOn w:val="Normal"/>
    <w:link w:val="FooterChar"/>
    <w:uiPriority w:val="99"/>
    <w:unhideWhenUsed/>
    <w:rsid w:val="002F5F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F5F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1</Characters>
  <Application>Microsoft Office Word</Application>
  <DocSecurity>0</DocSecurity>
  <Lines>1</Lines>
  <Paragraphs>1</Paragraphs>
  <ScaleCrop>false</ScaleCrop>
  <Company/>
  <LinksUpToDate>false</LinksUpToDate>
  <CharactersWithSpaces>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Bassam Bukhowa</dc:creator>
  <cp:keywords/>
  <dc:description/>
  <cp:lastModifiedBy>Bassam Bukhowa</cp:lastModifiedBy>
  <cp:revision>4</cp:revision>
  <dcterms:created xsi:type="dcterms:W3CDTF">2026-05-16T22:44:00Z</dcterms:created>
  <dcterms:modified xsi:type="dcterms:W3CDTF">2026-05-20T12:02:00Z</dcterms:modified>
</cp:coreProperties>
</file>