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color w:val="1F4E79"/>
          <w:sz w:val="36"/>
        </w:rPr>
        <w:t>Structured Extract - Designing a Custody Policy, and the Mining Energy and Environment Debate</w:t>
      </w:r>
    </w:p>
    <w:p>
      <w:r>
        <w:rPr>
          <w:b/>
          <w:color w:val="1F4E79"/>
          <w:sz w:val="24"/>
        </w:rPr>
        <w:t>Your second reading: the argument itself, with guidance</w:t>
      </w:r>
    </w:p>
    <w:p>
      <w:r>
        <w:rPr>
          <w:i/>
          <w:color w:val="808080"/>
          <w:sz w:val="18"/>
        </w:rPr>
        <w:t>Week 3, Session 2</w:t>
      </w:r>
    </w:p>
    <w:p>
      <w:pPr>
        <w:spacing w:before="200" w:after="80"/>
      </w:pPr>
      <w:r>
        <w:rPr>
          <w:b/>
          <w:color w:val="1F4E79"/>
          <w:sz w:val="26"/>
        </w:rPr>
        <w:t>Why you are reading this</w:t>
      </w:r>
    </w:p>
    <w:p>
      <w:r>
        <w:rPr>
          <w:b w:val="0"/>
          <w:i w:val="0"/>
          <w:sz w:val="22"/>
        </w:rPr>
        <w:t>You will write a real custody policy, and you will judge the energy debate on evidence rather than on what the news reports.</w:t>
      </w:r>
    </w:p>
    <w:p>
      <w:pPr>
        <w:spacing w:before="200" w:after="80"/>
      </w:pPr>
      <w:r>
        <w:rPr>
          <w:b/>
          <w:color w:val="1F4E79"/>
          <w:sz w:val="26"/>
        </w:rPr>
        <w:t>The source</w:t>
      </w:r>
    </w:p>
    <w:p>
      <w:r>
        <w:rPr>
          <w:b w:val="0"/>
          <w:i/>
          <w:sz w:val="20"/>
        </w:rPr>
        <w:t>Drescher (2026), Step 22 (halving and miner economics), paired with a live Cambridge Bitcoin Electricity Consumption Index (CBECI) read.</w:t>
      </w:r>
    </w:p>
    <w:p>
      <w:pPr>
        <w:spacing w:before="200" w:after="80"/>
      </w:pPr>
      <w:r>
        <w:rPr>
          <w:b/>
          <w:color w:val="1F4E79"/>
          <w:sz w:val="26"/>
        </w:rPr>
        <w:t>The core, in plain English</w:t>
      </w:r>
    </w:p>
    <w:p>
      <w:pPr>
        <w:spacing w:after="40"/>
        <w:ind w:left="432" w:hanging="216"/>
      </w:pPr>
      <w:r>
        <w:rPr>
          <w:sz w:val="22"/>
        </w:rPr>
        <w:t>•  Halving cuts the reward paid for adding a block, at set points in time. That changes how much miners can earn.</w:t>
      </w:r>
    </w:p>
    <w:p>
      <w:pPr>
        <w:spacing w:after="40"/>
        <w:ind w:left="432" w:hanging="216"/>
      </w:pPr>
      <w:r>
        <w:rPr>
          <w:sz w:val="22"/>
        </w:rPr>
        <w:t>•  After the 2021 China ban, mining geography and its energy mix shifted.</w:t>
      </w:r>
    </w:p>
    <w:p>
      <w:pPr>
        <w:spacing w:after="40"/>
        <w:ind w:left="432" w:hanging="216"/>
      </w:pPr>
      <w:r>
        <w:rPr>
          <w:sz w:val="22"/>
        </w:rPr>
        <w:t>•  The environmental, social and governance (ESG) question is about the share of the energy that comes from sustainable sources, which the CBECI tracks. It is not about any single price or figure.</w:t>
      </w:r>
    </w:p>
    <w:p>
      <w:pPr>
        <w:spacing w:before="200" w:after="80"/>
      </w:pPr>
      <w:r>
        <w:rPr>
          <w:b/>
          <w:color w:val="1F4E79"/>
          <w:sz w:val="26"/>
        </w:rPr>
        <w:t>Key facts you can use</w:t>
      </w:r>
    </w:p>
    <w:p>
      <w:pPr>
        <w:spacing w:after="40"/>
        <w:ind w:left="432" w:hanging="216"/>
      </w:pPr>
      <w:r>
        <w:rPr>
          <w:sz w:val="22"/>
        </w:rPr>
        <w:t>•  A custody and key-management policy should settle five things. How much is held offline (cold) and how much online (hot). How many key holders must approve, for example 2-of-3, which means two of the three must agree. Who holds each key. Where the seed phrases are stored and backed up. And what happens when something goes wrong, which is the recovery plan.</w:t>
      </w:r>
    </w:p>
    <w:p>
      <w:pPr>
        <w:spacing w:after="40"/>
        <w:ind w:left="432" w:hanging="216"/>
      </w:pPr>
      <w:r>
        <w:rPr>
          <w:sz w:val="22"/>
        </w:rPr>
        <w:t>•  Central Bank of Bahrain (CBB) Module chapter CRA-8 of the Crypto-asset Module (CRA) governs client crypto-asset custody: client assets must be segregated from the firm's own assets.</w:t>
      </w:r>
    </w:p>
    <w:p>
      <w:pPr>
        <w:spacing w:after="40"/>
        <w:ind w:left="432" w:hanging="216"/>
      </w:pPr>
      <w:r>
        <w:rPr>
          <w:sz w:val="22"/>
        </w:rPr>
        <w:t>•  Proof-of-Work mining uses real energy, by design. What matters most is not the total energy used. It is the energy mix, meaning how much of that energy comes from sustainable sources. The Cambridge Bitcoin Electricity Consumption Index (CBECI), which is part of the Cambridge Blockchain Network Sustainability Index (CBNSI), tracks that share. Build your argument on the idea of the mix, never on a percentage that changes from week to week.</w:t>
      </w:r>
    </w:p>
    <w:p>
      <w:pPr>
        <w:spacing w:before="200" w:after="80"/>
      </w:pPr>
      <w:r>
        <w:rPr>
          <w:b/>
          <w:color w:val="1F4E79"/>
          <w:sz w:val="26"/>
        </w:rPr>
        <w:t>Worked example</w:t>
      </w:r>
    </w:p>
    <w:p>
      <w:r>
        <w:rPr>
          <w:b w:val="0"/>
          <w:i w:val="0"/>
          <w:sz w:val="22"/>
        </w:rPr>
        <w:t>A Bahraini firm holds about USD 250,000 in crypto-assets, which is roughly Bahraini dinar (BHD) 94,000. Here is a policy it could defend. Keep 90 percent of the holding, nine tenths of it, in cold storage under a 2-of-3 multi-sig: two of the three key holders must approve before anything moves, and those keys are held by the chief financial officer (CFO), a director and an outside custodian. Keep the other 10 percent, one tenth, in a hot wallet for day-to-day operations. Split the seed phrases across two bank vaults. Write down a recovery plan. This meets the CRA-8 requirement to keep client assets separate, and it limits how much can be lost in any single failure.</w:t>
      </w:r>
    </w:p>
    <w:p>
      <w:pPr>
        <w:spacing w:before="200" w:after="80"/>
      </w:pPr>
      <w:r>
        <w:rPr>
          <w:b/>
          <w:color w:val="1F4E79"/>
          <w:sz w:val="26"/>
        </w:rPr>
        <w:t>Words to know</w:t>
      </w:r>
    </w:p>
    <w:tbl>
      <w:tblPr>
        <w:tblW w:type="auto" w:w="0"/>
        <w:tblLayout w:type="autofit"/>
        <w:tblLook w:firstColumn="1" w:firstRow="1" w:lastColumn="0" w:lastRow="0" w:noHBand="0" w:noVBand="1" w:val="04A0"/>
      </w:tblPr>
      <w:tblGrid>
        <w:gridCol w:w="4680"/>
        <w:gridCol w:w="4680"/>
      </w:tblGrid>
      <w:tr>
        <w:tc>
          <w:tcPr>
            <w:tcW w:type="dxa" w:w="2880"/>
            <w:tcBorders>
              <w:top w:val="single" w:sz="4" w:color="BFBFBF"/>
              <w:left w:val="single" w:sz="4" w:color="BFBFBF"/>
              <w:bottom w:val="single" w:sz="4" w:color="BFBFBF"/>
              <w:right w:val="single" w:sz="4" w:color="BFBFBF"/>
            </w:tcBorders>
            <w:shd w:val="clear" w:color="auto" w:fill="1F4E79"/>
          </w:tcPr>
          <w:p>
            <w:r/>
            <w:r>
              <w:rPr>
                <w:b/>
                <w:color w:val="FFFFFF"/>
                <w:sz w:val="20"/>
              </w:rPr>
              <w:t>Term</w:t>
            </w:r>
          </w:p>
        </w:tc>
        <w:tc>
          <w:tcPr>
            <w:tcW w:type="dxa" w:w="6624"/>
            <w:tcBorders>
              <w:top w:val="single" w:sz="4" w:color="BFBFBF"/>
              <w:left w:val="single" w:sz="4" w:color="BFBFBF"/>
              <w:bottom w:val="single" w:sz="4" w:color="BFBFBF"/>
              <w:right w:val="single" w:sz="4" w:color="BFBFBF"/>
            </w:tcBorders>
            <w:shd w:val="clear" w:color="auto" w:fill="1F4E79"/>
          </w:tcPr>
          <w:p>
            <w:r/>
            <w:r>
              <w:rPr>
                <w:b/>
                <w:color w:val="FFFFFF"/>
                <w:sz w:val="20"/>
              </w:rPr>
              <w:t>Plain meaning</w:t>
            </w:r>
          </w:p>
        </w:tc>
      </w:tr>
      <w:tr>
        <w:tc>
          <w:tcPr>
            <w:tcW w:type="dxa" w:w="2880"/>
            <w:tcBorders>
              <w:top w:val="single" w:sz="4" w:color="BFBFBF"/>
              <w:left w:val="single" w:sz="4" w:color="BFBFBF"/>
              <w:bottom w:val="single" w:sz="4" w:color="BFBFBF"/>
              <w:right w:val="single" w:sz="4" w:color="BFBFBF"/>
            </w:tcBorders>
          </w:tcPr>
          <w:p>
            <w:r/>
            <w:r>
              <w:rPr>
                <w:sz w:val="20"/>
              </w:rPr>
              <w:t>Block</w:t>
            </w:r>
          </w:p>
        </w:tc>
        <w:tc>
          <w:tcPr>
            <w:tcW w:type="dxa" w:w="6624"/>
            <w:tcBorders>
              <w:top w:val="single" w:sz="4" w:color="BFBFBF"/>
              <w:left w:val="single" w:sz="4" w:color="BFBFBF"/>
              <w:bottom w:val="single" w:sz="4" w:color="BFBFBF"/>
              <w:right w:val="single" w:sz="4" w:color="BFBFBF"/>
            </w:tcBorders>
          </w:tcPr>
          <w:p>
            <w:r/>
            <w:r>
              <w:rPr>
                <w:sz w:val="20"/>
              </w:rPr>
              <w:t>A batch of transactions added to the record book in one go. Each block is locked to the block that came before it.</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Blockchain</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A shared record book that many computers keep a copy of at the same time. New entries are added in batches called blocks. Each batch is locked to the one before it. No single owner can quietly change an entry that is already in.</w:t>
            </w:r>
          </w:p>
        </w:tc>
      </w:tr>
      <w:tr>
        <w:tc>
          <w:tcPr>
            <w:tcW w:type="dxa" w:w="2880"/>
            <w:tcBorders>
              <w:top w:val="single" w:sz="4" w:color="BFBFBF"/>
              <w:left w:val="single" w:sz="4" w:color="BFBFBF"/>
              <w:bottom w:val="single" w:sz="4" w:color="BFBFBF"/>
              <w:right w:val="single" w:sz="4" w:color="BFBFBF"/>
            </w:tcBorders>
          </w:tcPr>
          <w:p>
            <w:r/>
            <w:r>
              <w:rPr>
                <w:sz w:val="20"/>
              </w:rPr>
              <w:t>Wallet</w:t>
            </w:r>
          </w:p>
        </w:tc>
        <w:tc>
          <w:tcPr>
            <w:tcW w:type="dxa" w:w="6624"/>
            <w:tcBorders>
              <w:top w:val="single" w:sz="4" w:color="BFBFBF"/>
              <w:left w:val="single" w:sz="4" w:color="BFBFBF"/>
              <w:bottom w:val="single" w:sz="4" w:color="BFBFBF"/>
              <w:right w:val="single" w:sz="4" w:color="BFBFBF"/>
            </w:tcBorders>
          </w:tcPr>
          <w:p>
            <w:r/>
            <w:r>
              <w:rPr>
                <w:sz w:val="20"/>
              </w:rPr>
              <w:t>The app or device that stores the secret codes which control what you own on a blockchain. It does not hold the assets themselves. Those stay on the record book.</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Governance</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Who is allowed to decide the rules, change them, and settle disputes.</w:t>
            </w:r>
          </w:p>
        </w:tc>
      </w:tr>
      <w:tr>
        <w:tc>
          <w:tcPr>
            <w:tcW w:type="dxa" w:w="2880"/>
            <w:tcBorders>
              <w:top w:val="single" w:sz="4" w:color="BFBFBF"/>
              <w:left w:val="single" w:sz="4" w:color="BFBFBF"/>
              <w:bottom w:val="single" w:sz="4" w:color="BFBFBF"/>
              <w:right w:val="single" w:sz="4" w:color="BFBFBF"/>
            </w:tcBorders>
          </w:tcPr>
          <w:p>
            <w:r/>
            <w:r>
              <w:rPr>
                <w:sz w:val="20"/>
              </w:rPr>
              <w:t>Custody</w:t>
            </w:r>
          </w:p>
        </w:tc>
        <w:tc>
          <w:tcPr>
            <w:tcW w:type="dxa" w:w="6624"/>
            <w:tcBorders>
              <w:top w:val="single" w:sz="4" w:color="BFBFBF"/>
              <w:left w:val="single" w:sz="4" w:color="BFBFBF"/>
              <w:bottom w:val="single" w:sz="4" w:color="BFBFBF"/>
              <w:right w:val="single" w:sz="4" w:color="BFBFBF"/>
            </w:tcBorders>
          </w:tcPr>
          <w:p>
            <w:r/>
            <w:r>
              <w:rPr>
                <w:sz w:val="20"/>
              </w:rPr>
              <w:t>Who holds the secret keys, and so who actually controls the assets. Either you hold them yourself, or a licensed firm holds them for you.</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Mining</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Competing to add the next block by having computers do a very large amount of calculation. The winner is paid in new coins. This is what makes proof of work expensive to run.</w:t>
            </w:r>
          </w:p>
        </w:tc>
      </w:tr>
      <w:tr>
        <w:tc>
          <w:tcPr>
            <w:tcW w:type="dxa" w:w="2880"/>
            <w:tcBorders>
              <w:top w:val="single" w:sz="4" w:color="BFBFBF"/>
              <w:left w:val="single" w:sz="4" w:color="BFBFBF"/>
              <w:bottom w:val="single" w:sz="4" w:color="BFBFBF"/>
              <w:right w:val="single" w:sz="4" w:color="BFBFBF"/>
            </w:tcBorders>
          </w:tcPr>
          <w:p>
            <w:r/>
            <w:r>
              <w:rPr>
                <w:sz w:val="20"/>
              </w:rPr>
              <w:t>Mitigation</w:t>
            </w:r>
          </w:p>
        </w:tc>
        <w:tc>
          <w:tcPr>
            <w:tcW w:type="dxa" w:w="6624"/>
            <w:tcBorders>
              <w:top w:val="single" w:sz="4" w:color="BFBFBF"/>
              <w:left w:val="single" w:sz="4" w:color="BFBFBF"/>
              <w:bottom w:val="single" w:sz="4" w:color="BFBFBF"/>
              <w:right w:val="single" w:sz="4" w:color="BFBFBF"/>
            </w:tcBorders>
          </w:tcPr>
          <w:p>
            <w:r/>
            <w:r>
              <w:rPr>
                <w:sz w:val="20"/>
              </w:rPr>
              <w:t>A specific action taken to make a risk less likely to happen, or less damaging if it does.</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Energy mix</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The share of a network's electricity that comes from each source, such as gas, coal, hydro or solar. Two networks using the same amount of power can have very different mixes.</w:t>
            </w:r>
          </w:p>
        </w:tc>
      </w:tr>
      <w:tr>
        <w:tc>
          <w:tcPr>
            <w:tcW w:type="dxa" w:w="2880"/>
            <w:tcBorders>
              <w:top w:val="single" w:sz="4" w:color="BFBFBF"/>
              <w:left w:val="single" w:sz="4" w:color="BFBFBF"/>
              <w:bottom w:val="single" w:sz="4" w:color="BFBFBF"/>
              <w:right w:val="single" w:sz="4" w:color="BFBFBF"/>
            </w:tcBorders>
          </w:tcPr>
          <w:p>
            <w:r/>
            <w:r>
              <w:rPr>
                <w:sz w:val="20"/>
              </w:rPr>
              <w:t>Halving</w:t>
            </w:r>
          </w:p>
        </w:tc>
        <w:tc>
          <w:tcPr>
            <w:tcW w:type="dxa" w:w="6624"/>
            <w:tcBorders>
              <w:top w:val="single" w:sz="4" w:color="BFBFBF"/>
              <w:left w:val="single" w:sz="4" w:color="BFBFBF"/>
              <w:bottom w:val="single" w:sz="4" w:color="BFBFBF"/>
              <w:right w:val="single" w:sz="4" w:color="BFBFBF"/>
            </w:tcBorders>
          </w:tcPr>
          <w:p>
            <w:r/>
            <w:r>
              <w:rPr>
                <w:sz w:val="20"/>
              </w:rPr>
              <w:t>periodic cut in the block reward</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CBECI</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the Cambridge index of how much electricity Bitcoin mining uses, and how much of that comes from sustainable sources</w:t>
            </w:r>
          </w:p>
        </w:tc>
      </w:tr>
      <w:tr>
        <w:tc>
          <w:tcPr>
            <w:tcW w:type="dxa" w:w="2880"/>
            <w:tcBorders>
              <w:top w:val="single" w:sz="4" w:color="BFBFBF"/>
              <w:left w:val="single" w:sz="4" w:color="BFBFBF"/>
              <w:bottom w:val="single" w:sz="4" w:color="BFBFBF"/>
              <w:right w:val="single" w:sz="4" w:color="BFBFBF"/>
            </w:tcBorders>
          </w:tcPr>
          <w:p>
            <w:r/>
            <w:r>
              <w:rPr>
                <w:sz w:val="20"/>
              </w:rPr>
              <w:t>ESG</w:t>
            </w:r>
          </w:p>
        </w:tc>
        <w:tc>
          <w:tcPr>
            <w:tcW w:type="dxa" w:w="6624"/>
            <w:tcBorders>
              <w:top w:val="single" w:sz="4" w:color="BFBFBF"/>
              <w:left w:val="single" w:sz="4" w:color="BFBFBF"/>
              <w:bottom w:val="single" w:sz="4" w:color="BFBFBF"/>
              <w:right w:val="single" w:sz="4" w:color="BFBFBF"/>
            </w:tcBorders>
          </w:tcPr>
          <w:p>
            <w:r/>
            <w:r>
              <w:rPr>
                <w:sz w:val="20"/>
              </w:rPr>
              <w:t>environmental, social, governance</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Cold storage</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offline key storage</w:t>
            </w:r>
          </w:p>
        </w:tc>
      </w:tr>
      <w:tr>
        <w:tc>
          <w:tcPr>
            <w:tcW w:type="dxa" w:w="2880"/>
            <w:tcBorders>
              <w:top w:val="single" w:sz="4" w:color="BFBFBF"/>
              <w:left w:val="single" w:sz="4" w:color="BFBFBF"/>
              <w:bottom w:val="single" w:sz="4" w:color="BFBFBF"/>
              <w:right w:val="single" w:sz="4" w:color="BFBFBF"/>
            </w:tcBorders>
          </w:tcPr>
          <w:p>
            <w:r/>
            <w:r>
              <w:rPr>
                <w:sz w:val="20"/>
              </w:rPr>
              <w:t>Bahraini dinar (BHD)</w:t>
            </w:r>
          </w:p>
        </w:tc>
        <w:tc>
          <w:tcPr>
            <w:tcW w:type="dxa" w:w="6624"/>
            <w:tcBorders>
              <w:top w:val="single" w:sz="4" w:color="BFBFBF"/>
              <w:left w:val="single" w:sz="4" w:color="BFBFBF"/>
              <w:bottom w:val="single" w:sz="4" w:color="BFBFBF"/>
              <w:right w:val="single" w:sz="4" w:color="BFBFBF"/>
            </w:tcBorders>
          </w:tcPr>
          <w:p>
            <w:r/>
            <w:r>
              <w:rPr>
                <w:sz w:val="20"/>
              </w:rPr>
              <w:t>Bahrain's currency</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Central Bank of Bahrain (CBB)</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Bahrain's financial regulator; it decides who may run a financial business here</w:t>
            </w:r>
          </w:p>
        </w:tc>
      </w:tr>
      <w:tr>
        <w:tc>
          <w:tcPr>
            <w:tcW w:type="dxa" w:w="2880"/>
            <w:tcBorders>
              <w:top w:val="single" w:sz="4" w:color="BFBFBF"/>
              <w:left w:val="single" w:sz="4" w:color="BFBFBF"/>
              <w:bottom w:val="single" w:sz="4" w:color="BFBFBF"/>
              <w:right w:val="single" w:sz="4" w:color="BFBFBF"/>
            </w:tcBorders>
          </w:tcPr>
          <w:p>
            <w:r/>
            <w:r>
              <w:rPr>
                <w:sz w:val="20"/>
              </w:rPr>
              <w:t>Cambridge Blockchain Network Sustainability Index (CBNSI)</w:t>
            </w:r>
          </w:p>
        </w:tc>
        <w:tc>
          <w:tcPr>
            <w:tcW w:type="dxa" w:w="6624"/>
            <w:tcBorders>
              <w:top w:val="single" w:sz="4" w:color="BFBFBF"/>
              <w:left w:val="single" w:sz="4" w:color="BFBFBF"/>
              <w:bottom w:val="single" w:sz="4" w:color="BFBFBF"/>
              <w:right w:val="single" w:sz="4" w:color="BFBFBF"/>
            </w:tcBorders>
          </w:tcPr>
          <w:p>
            <w:r/>
            <w:r>
              <w:rPr>
                <w:sz w:val="20"/>
              </w:rPr>
              <w:t>the wider Cambridge index that the electricity index sits inside</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chief financial officer (CFO)</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the executive responsible for a firm's money</w:t>
            </w:r>
          </w:p>
        </w:tc>
      </w:tr>
      <w:tr>
        <w:tc>
          <w:tcPr>
            <w:tcW w:type="dxa" w:w="2880"/>
            <w:tcBorders>
              <w:top w:val="single" w:sz="4" w:color="BFBFBF"/>
              <w:left w:val="single" w:sz="4" w:color="BFBFBF"/>
              <w:bottom w:val="single" w:sz="4" w:color="BFBFBF"/>
              <w:right w:val="single" w:sz="4" w:color="BFBFBF"/>
            </w:tcBorders>
          </w:tcPr>
          <w:p>
            <w:r/>
            <w:r>
              <w:rPr>
                <w:sz w:val="20"/>
              </w:rPr>
              <w:t>Crypto-asset Module (CRA)</w:t>
            </w:r>
          </w:p>
        </w:tc>
        <w:tc>
          <w:tcPr>
            <w:tcW w:type="dxa" w:w="6624"/>
            <w:tcBorders>
              <w:top w:val="single" w:sz="4" w:color="BFBFBF"/>
              <w:left w:val="single" w:sz="4" w:color="BFBFBF"/>
              <w:bottom w:val="single" w:sz="4" w:color="BFBFBF"/>
              <w:right w:val="single" w:sz="4" w:color="BFBFBF"/>
            </w:tcBorders>
          </w:tcPr>
          <w:p>
            <w:r/>
            <w:r>
              <w:rPr>
                <w:sz w:val="20"/>
              </w:rPr>
              <w:t>the part of the Central Bank of Bahrain's rulebook that governs crypto-asset business</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proof of work (PoW)</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agreeing the record by spending computing power, as Bitcoin does</w:t>
            </w:r>
          </w:p>
        </w:tc>
      </w:tr>
    </w:tbl>
    <w:p>
      <w:pPr>
        <w:spacing w:before="200" w:after="80"/>
      </w:pPr>
      <w:r>
        <w:rPr>
          <w:b/>
          <w:color w:val="1F4E79"/>
          <w:sz w:val="26"/>
        </w:rPr>
        <w:t>Guiding questions (answer these in your worksheet)</w:t>
      </w:r>
    </w:p>
    <w:p>
      <w:pPr>
        <w:spacing w:after="40"/>
        <w:ind w:left="432" w:hanging="216"/>
      </w:pPr>
      <w:r>
        <w:rPr>
          <w:sz w:val="22"/>
        </w:rPr>
        <w:t>•  What are the two most important decisions in a custody policy, and why?</w:t>
      </w:r>
    </w:p>
    <w:p>
      <w:pPr>
        <w:spacing w:after="40"/>
        <w:ind w:left="432" w:hanging="216"/>
      </w:pPr>
      <w:r>
        <w:rPr>
          <w:sz w:val="22"/>
        </w:rPr>
        <w:t>•  How would you interpret today's CBECI sustainable-mix figure for an ESG investor?</w:t>
      </w:r>
    </w:p>
    <w:p>
      <w:pPr>
        <w:spacing w:after="40"/>
        <w:ind w:left="432" w:hanging="216"/>
      </w:pPr>
      <w:r>
        <w:rPr>
          <w:sz w:val="22"/>
        </w:rPr>
        <w:t>•  Why should a claim about mining and energy be tied to the idea of the energy mix, rather than to a percentage you read today?</w:t>
      </w:r>
    </w:p>
    <w:p>
      <w:pPr>
        <w:spacing w:before="200" w:after="80"/>
      </w:pPr>
      <w:r>
        <w:rPr>
          <w:b/>
          <w:color w:val="1F4E79"/>
          <w:sz w:val="26"/>
        </w:rPr>
        <w:t>What to extract</w:t>
      </w:r>
    </w:p>
    <w:p>
      <w:r>
        <w:rPr>
          <w:b w:val="0"/>
          <w:i w:val="0"/>
          <w:sz w:val="22"/>
        </w:rPr>
        <w:t>The single sentence you would give an ESG investor about proof of work (PoW) energy.</w:t>
      </w:r>
    </w:p>
    <w:p>
      <w:r>
        <w:rPr>
          <w:b w:val="0"/>
          <w:i/>
          <w:sz w:val="18"/>
        </w:rPr>
        <w:t>Sources: Cambridge Bitcoin Electricity Consumption Index (CBECI), part of the Cambridge Blockchain Network Sustainability Index (CBNSI) - live dashboard.; Drescher, D. (2026). Blockchain basics (2nd ed.), Step 22. Apress / Springer Nature.</w:t>
      </w:r>
    </w:p>
    <w:sectPr w:rsidR="00177B4F" w:rsidRPr="00177B4F">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BBF6C" w14:textId="77777777" w:rsidR="00056D21" w:rsidRDefault="00056D21" w:rsidP="002F5FE7">
      <w:pPr>
        <w:spacing w:after="0" w:line="240" w:lineRule="auto"/>
      </w:pPr>
      <w:r>
        <w:separator/>
      </w:r>
    </w:p>
  </w:endnote>
  <w:endnote w:type="continuationSeparator" w:id="0">
    <w:p w14:paraId="57BF3AAD" w14:textId="77777777" w:rsidR="00056D21" w:rsidRDefault="00056D21" w:rsidP="002F5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300F935E" w14:textId="77777777">
      <w:tc>
        <w:tcPr>
          <w:tcW w:w="2500" w:type="pct"/>
          <w:tcBorders>
            <w:top w:val="nil"/>
            <w:left w:val="nil"/>
            <w:bottom w:val="nil"/>
            <w:right w:val="nil"/>
          </w:tcBorders>
        </w:tcPr>
        <w:p w14:paraId="6283315C"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5E099114"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end"/>
          </w:r>
        </w:p>
      </w:tc>
    </w:tr>
  </w:tbl>
  <w:p w14:paraId="60955497" w14:textId="77777777" w:rsidR="00C90831" w:rsidRDefault="00C90831">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3BF91A01" w14:textId="77777777">
      <w:tc>
        <w:tcPr>
          <w:tcW w:w="2500" w:type="pct"/>
          <w:tcBorders>
            <w:top w:val="nil"/>
            <w:left w:val="nil"/>
            <w:bottom w:val="nil"/>
            <w:right w:val="nil"/>
          </w:tcBorders>
        </w:tcPr>
        <w:p w14:paraId="7B9EC296"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149BE6FC" w14:textId="02B43803"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sidR="000A5244">
            <w:rPr>
              <w:color w:val="808080"/>
              <w:sz w:val="18"/>
            </w:rPr>
            <w:fldChar w:fldCharType="separate"/>
          </w:r>
          <w:r w:rsidR="000A5244">
            <w:rPr>
              <w:noProof/>
              <w:color w:val="808080"/>
              <w:sz w:val="18"/>
            </w:rPr>
            <w:t>1</w: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sidR="000A5244">
            <w:rPr>
              <w:color w:val="808080"/>
              <w:sz w:val="18"/>
            </w:rPr>
            <w:fldChar w:fldCharType="separate"/>
          </w:r>
          <w:r w:rsidR="000A5244">
            <w:rPr>
              <w:noProof/>
              <w:color w:val="808080"/>
              <w:sz w:val="18"/>
            </w:rPr>
            <w:t>2</w:t>
          </w:r>
          <w:r>
            <w:rPr>
              <w:color w:val="808080"/>
              <w:sz w:val="18"/>
            </w:rPr>
            <w:fldChar w:fldCharType="end"/>
          </w:r>
        </w:p>
      </w:tc>
    </w:tr>
  </w:tbl>
  <w:p w14:paraId="5E6764A4" w14:textId="77777777" w:rsidR="00C90831" w:rsidRDefault="00C90831">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F4A12" w14:textId="77777777" w:rsidR="002F5FE7" w:rsidRDefault="002F5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C0329" w14:textId="77777777" w:rsidR="00056D21" w:rsidRDefault="00056D21" w:rsidP="002F5FE7">
      <w:pPr>
        <w:spacing w:after="0" w:line="240" w:lineRule="auto"/>
      </w:pPr>
      <w:r>
        <w:separator/>
      </w:r>
    </w:p>
  </w:footnote>
  <w:footnote w:type="continuationSeparator" w:id="0">
    <w:p w14:paraId="63267BCA" w14:textId="77777777" w:rsidR="00056D21" w:rsidRDefault="00056D21" w:rsidP="002F5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42C03" w14:textId="77777777" w:rsidR="002F5FE7" w:rsidRDefault="002F5F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b/>
        <w:color w:val="1F4E79"/>
        <w:sz w:val="20"/>
      </w:rPr>
      <w:t>IT8204 W3 Session 2 Structured Extract v1.0</w:t>
    </w:r>
  </w:p>
  <w:p w14:paraId="66F57A94" w14:textId="2B872235" w:rsidR="002F5FE7" w:rsidRDefault="002F5FE7" w:rsidP="002F5FE7">
    <w:pPr>
      <w:pStyle w:val="Header"/>
      <w:jc w:val="center"/>
    </w:pPr>
    <w:r>
      <w:rPr>
        <w:noProof/>
      </w:rPr>
      <w:drawing>
        <wp:inline distT="0" distB="0" distL="0" distR="0" wp14:anchorId="7A38259D" wp14:editId="5707FA7C">
          <wp:extent cx="3263900" cy="512094"/>
          <wp:effectExtent l="0" t="0" r="0" b="2540"/>
          <wp:docPr id="663283008" name="Picture 43" descr="A blue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3008" name="Picture 43" descr="A blue and black logo  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93CF3" w14:textId="77777777" w:rsidR="002F5FE7" w:rsidRDefault="002F5F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A63"/>
    <w:rsid w:val="000010CF"/>
    <w:rsid w:val="00004D5A"/>
    <w:rsid w:val="000222DE"/>
    <w:rsid w:val="00025D3C"/>
    <w:rsid w:val="00040220"/>
    <w:rsid w:val="000445E9"/>
    <w:rsid w:val="0004464D"/>
    <w:rsid w:val="000542D0"/>
    <w:rsid w:val="00056D21"/>
    <w:rsid w:val="000613CC"/>
    <w:rsid w:val="0006179C"/>
    <w:rsid w:val="00062890"/>
    <w:rsid w:val="00062ED6"/>
    <w:rsid w:val="00065F4F"/>
    <w:rsid w:val="0007019B"/>
    <w:rsid w:val="0007291A"/>
    <w:rsid w:val="00076BE7"/>
    <w:rsid w:val="00082BAA"/>
    <w:rsid w:val="0008625E"/>
    <w:rsid w:val="000927D4"/>
    <w:rsid w:val="00092C7B"/>
    <w:rsid w:val="00095FEA"/>
    <w:rsid w:val="000A5244"/>
    <w:rsid w:val="000B1215"/>
    <w:rsid w:val="000C15F0"/>
    <w:rsid w:val="000C26BA"/>
    <w:rsid w:val="000D11AB"/>
    <w:rsid w:val="000D5C71"/>
    <w:rsid w:val="000D5E80"/>
    <w:rsid w:val="000D61FF"/>
    <w:rsid w:val="000E19B7"/>
    <w:rsid w:val="000F1EBC"/>
    <w:rsid w:val="001067CF"/>
    <w:rsid w:val="00124BCE"/>
    <w:rsid w:val="0012779E"/>
    <w:rsid w:val="00132BD9"/>
    <w:rsid w:val="001369D9"/>
    <w:rsid w:val="001401E2"/>
    <w:rsid w:val="00140797"/>
    <w:rsid w:val="00141C2F"/>
    <w:rsid w:val="00154FDD"/>
    <w:rsid w:val="00164BA0"/>
    <w:rsid w:val="00166587"/>
    <w:rsid w:val="001667E1"/>
    <w:rsid w:val="00173153"/>
    <w:rsid w:val="0017444B"/>
    <w:rsid w:val="00177B4F"/>
    <w:rsid w:val="00187E7B"/>
    <w:rsid w:val="00191A66"/>
    <w:rsid w:val="00191E86"/>
    <w:rsid w:val="00192963"/>
    <w:rsid w:val="00193179"/>
    <w:rsid w:val="00195D89"/>
    <w:rsid w:val="001979CF"/>
    <w:rsid w:val="001A1933"/>
    <w:rsid w:val="001A3016"/>
    <w:rsid w:val="001B1F08"/>
    <w:rsid w:val="001C12F0"/>
    <w:rsid w:val="001C3926"/>
    <w:rsid w:val="001D027A"/>
    <w:rsid w:val="001D055A"/>
    <w:rsid w:val="001D1765"/>
    <w:rsid w:val="001E3D58"/>
    <w:rsid w:val="001E4B79"/>
    <w:rsid w:val="001E5742"/>
    <w:rsid w:val="001E61D4"/>
    <w:rsid w:val="001F3CFB"/>
    <w:rsid w:val="001F6C9C"/>
    <w:rsid w:val="0020063D"/>
    <w:rsid w:val="00207032"/>
    <w:rsid w:val="002124CE"/>
    <w:rsid w:val="00214FF4"/>
    <w:rsid w:val="00220AD5"/>
    <w:rsid w:val="00226DC0"/>
    <w:rsid w:val="00227381"/>
    <w:rsid w:val="002368C6"/>
    <w:rsid w:val="0024127E"/>
    <w:rsid w:val="00244300"/>
    <w:rsid w:val="00245FF7"/>
    <w:rsid w:val="00246922"/>
    <w:rsid w:val="002548B0"/>
    <w:rsid w:val="00255FF4"/>
    <w:rsid w:val="00266BF8"/>
    <w:rsid w:val="002675CB"/>
    <w:rsid w:val="002732BE"/>
    <w:rsid w:val="00273663"/>
    <w:rsid w:val="00273D19"/>
    <w:rsid w:val="002778F7"/>
    <w:rsid w:val="00281069"/>
    <w:rsid w:val="0028349B"/>
    <w:rsid w:val="002839C7"/>
    <w:rsid w:val="00286F43"/>
    <w:rsid w:val="00287CC6"/>
    <w:rsid w:val="00290E2C"/>
    <w:rsid w:val="00291149"/>
    <w:rsid w:val="00292009"/>
    <w:rsid w:val="002A33C3"/>
    <w:rsid w:val="002B374D"/>
    <w:rsid w:val="002B3E58"/>
    <w:rsid w:val="002B3E79"/>
    <w:rsid w:val="002B762A"/>
    <w:rsid w:val="002B7BCA"/>
    <w:rsid w:val="002C1BB7"/>
    <w:rsid w:val="002C2D19"/>
    <w:rsid w:val="002D74F7"/>
    <w:rsid w:val="002D7B2E"/>
    <w:rsid w:val="002D7DD0"/>
    <w:rsid w:val="002E2193"/>
    <w:rsid w:val="002E4868"/>
    <w:rsid w:val="002E6F45"/>
    <w:rsid w:val="002E766B"/>
    <w:rsid w:val="002E7EE6"/>
    <w:rsid w:val="002F1A85"/>
    <w:rsid w:val="002F3373"/>
    <w:rsid w:val="002F5FE7"/>
    <w:rsid w:val="0030165C"/>
    <w:rsid w:val="0031627B"/>
    <w:rsid w:val="003237BB"/>
    <w:rsid w:val="00327658"/>
    <w:rsid w:val="00334137"/>
    <w:rsid w:val="003353DE"/>
    <w:rsid w:val="00340F24"/>
    <w:rsid w:val="003444E8"/>
    <w:rsid w:val="003451DE"/>
    <w:rsid w:val="00345A01"/>
    <w:rsid w:val="00352FD0"/>
    <w:rsid w:val="0035506F"/>
    <w:rsid w:val="00355569"/>
    <w:rsid w:val="0035785B"/>
    <w:rsid w:val="00371501"/>
    <w:rsid w:val="00372319"/>
    <w:rsid w:val="0037271F"/>
    <w:rsid w:val="00372DF7"/>
    <w:rsid w:val="00376532"/>
    <w:rsid w:val="00390B2D"/>
    <w:rsid w:val="00393287"/>
    <w:rsid w:val="00395D3E"/>
    <w:rsid w:val="003A33C4"/>
    <w:rsid w:val="003A3CED"/>
    <w:rsid w:val="003A4636"/>
    <w:rsid w:val="003A4C81"/>
    <w:rsid w:val="003A51E0"/>
    <w:rsid w:val="003B52CC"/>
    <w:rsid w:val="003C0126"/>
    <w:rsid w:val="003C3239"/>
    <w:rsid w:val="003C619D"/>
    <w:rsid w:val="003C6429"/>
    <w:rsid w:val="003C79ED"/>
    <w:rsid w:val="003D09E2"/>
    <w:rsid w:val="003D67C8"/>
    <w:rsid w:val="003D7024"/>
    <w:rsid w:val="003E05E7"/>
    <w:rsid w:val="003F19A1"/>
    <w:rsid w:val="003F1CF2"/>
    <w:rsid w:val="003F1F69"/>
    <w:rsid w:val="003F3489"/>
    <w:rsid w:val="003F5448"/>
    <w:rsid w:val="0040240A"/>
    <w:rsid w:val="00403800"/>
    <w:rsid w:val="0040700E"/>
    <w:rsid w:val="00410BE5"/>
    <w:rsid w:val="00415AAD"/>
    <w:rsid w:val="00416B81"/>
    <w:rsid w:val="00434280"/>
    <w:rsid w:val="00434B1F"/>
    <w:rsid w:val="00446007"/>
    <w:rsid w:val="00451352"/>
    <w:rsid w:val="00456DC7"/>
    <w:rsid w:val="004623FD"/>
    <w:rsid w:val="00465602"/>
    <w:rsid w:val="00465B4F"/>
    <w:rsid w:val="004738E7"/>
    <w:rsid w:val="00481641"/>
    <w:rsid w:val="00481D22"/>
    <w:rsid w:val="0049264E"/>
    <w:rsid w:val="00493F57"/>
    <w:rsid w:val="00494282"/>
    <w:rsid w:val="0049761D"/>
    <w:rsid w:val="004B02F1"/>
    <w:rsid w:val="004B17ED"/>
    <w:rsid w:val="004B26AC"/>
    <w:rsid w:val="004B68F6"/>
    <w:rsid w:val="004C0E2D"/>
    <w:rsid w:val="004C2A29"/>
    <w:rsid w:val="004C3ED5"/>
    <w:rsid w:val="004D1A3A"/>
    <w:rsid w:val="004D30A3"/>
    <w:rsid w:val="004D4F25"/>
    <w:rsid w:val="004D72C7"/>
    <w:rsid w:val="004E70BF"/>
    <w:rsid w:val="004F014E"/>
    <w:rsid w:val="004F0A89"/>
    <w:rsid w:val="005074D6"/>
    <w:rsid w:val="005112B0"/>
    <w:rsid w:val="00512402"/>
    <w:rsid w:val="00516776"/>
    <w:rsid w:val="00525A9B"/>
    <w:rsid w:val="00530B1B"/>
    <w:rsid w:val="005341C3"/>
    <w:rsid w:val="00534512"/>
    <w:rsid w:val="00535960"/>
    <w:rsid w:val="0054142F"/>
    <w:rsid w:val="00541631"/>
    <w:rsid w:val="005455D5"/>
    <w:rsid w:val="00550F32"/>
    <w:rsid w:val="005511DF"/>
    <w:rsid w:val="00552AF1"/>
    <w:rsid w:val="00552BE5"/>
    <w:rsid w:val="00553753"/>
    <w:rsid w:val="00555D9E"/>
    <w:rsid w:val="005570D9"/>
    <w:rsid w:val="005724BE"/>
    <w:rsid w:val="0057457A"/>
    <w:rsid w:val="00580A88"/>
    <w:rsid w:val="00592991"/>
    <w:rsid w:val="00594C6E"/>
    <w:rsid w:val="005961A3"/>
    <w:rsid w:val="0059772F"/>
    <w:rsid w:val="005A0513"/>
    <w:rsid w:val="005A2A75"/>
    <w:rsid w:val="005A2F64"/>
    <w:rsid w:val="005A33CF"/>
    <w:rsid w:val="005C37BA"/>
    <w:rsid w:val="005C3CEA"/>
    <w:rsid w:val="005C3FF8"/>
    <w:rsid w:val="005C5246"/>
    <w:rsid w:val="005C640F"/>
    <w:rsid w:val="005D7DA1"/>
    <w:rsid w:val="005E6562"/>
    <w:rsid w:val="005F44AD"/>
    <w:rsid w:val="00610080"/>
    <w:rsid w:val="00611D46"/>
    <w:rsid w:val="006175EA"/>
    <w:rsid w:val="00621E1B"/>
    <w:rsid w:val="00622658"/>
    <w:rsid w:val="0062754F"/>
    <w:rsid w:val="00637153"/>
    <w:rsid w:val="00650CF2"/>
    <w:rsid w:val="00651D3F"/>
    <w:rsid w:val="0065262E"/>
    <w:rsid w:val="00652EA3"/>
    <w:rsid w:val="0065486B"/>
    <w:rsid w:val="0066010A"/>
    <w:rsid w:val="00663B53"/>
    <w:rsid w:val="006661E6"/>
    <w:rsid w:val="00666991"/>
    <w:rsid w:val="00682EE6"/>
    <w:rsid w:val="00683DBA"/>
    <w:rsid w:val="00691A83"/>
    <w:rsid w:val="00693414"/>
    <w:rsid w:val="006A3AB8"/>
    <w:rsid w:val="006B0028"/>
    <w:rsid w:val="006B09DF"/>
    <w:rsid w:val="006B1E83"/>
    <w:rsid w:val="006C5301"/>
    <w:rsid w:val="006D011B"/>
    <w:rsid w:val="006D759C"/>
    <w:rsid w:val="006E01A4"/>
    <w:rsid w:val="006E3734"/>
    <w:rsid w:val="006E4BC3"/>
    <w:rsid w:val="006E4F08"/>
    <w:rsid w:val="006E5CDE"/>
    <w:rsid w:val="006E5E61"/>
    <w:rsid w:val="006F2882"/>
    <w:rsid w:val="006F780D"/>
    <w:rsid w:val="007038D5"/>
    <w:rsid w:val="00705F9A"/>
    <w:rsid w:val="0070655F"/>
    <w:rsid w:val="007271B2"/>
    <w:rsid w:val="00733A40"/>
    <w:rsid w:val="007363AD"/>
    <w:rsid w:val="00740BE1"/>
    <w:rsid w:val="00741E5D"/>
    <w:rsid w:val="00742DCE"/>
    <w:rsid w:val="007432FF"/>
    <w:rsid w:val="00743C72"/>
    <w:rsid w:val="007454BA"/>
    <w:rsid w:val="00746839"/>
    <w:rsid w:val="0075245D"/>
    <w:rsid w:val="00754202"/>
    <w:rsid w:val="00761C27"/>
    <w:rsid w:val="007644F0"/>
    <w:rsid w:val="0076512D"/>
    <w:rsid w:val="00767B48"/>
    <w:rsid w:val="00775487"/>
    <w:rsid w:val="007846B2"/>
    <w:rsid w:val="00790698"/>
    <w:rsid w:val="0079410D"/>
    <w:rsid w:val="00794C6B"/>
    <w:rsid w:val="00795F2E"/>
    <w:rsid w:val="007A1450"/>
    <w:rsid w:val="007A1AF5"/>
    <w:rsid w:val="007A5996"/>
    <w:rsid w:val="007B2D32"/>
    <w:rsid w:val="007B484A"/>
    <w:rsid w:val="007B5C1C"/>
    <w:rsid w:val="007B7430"/>
    <w:rsid w:val="007B7C1D"/>
    <w:rsid w:val="007C13F4"/>
    <w:rsid w:val="007D001F"/>
    <w:rsid w:val="007D44E7"/>
    <w:rsid w:val="007E39C8"/>
    <w:rsid w:val="007E3B0B"/>
    <w:rsid w:val="007E44C4"/>
    <w:rsid w:val="007E60CC"/>
    <w:rsid w:val="007F341E"/>
    <w:rsid w:val="007F7FC1"/>
    <w:rsid w:val="00803FF8"/>
    <w:rsid w:val="008061CC"/>
    <w:rsid w:val="0080658B"/>
    <w:rsid w:val="0081132B"/>
    <w:rsid w:val="0082027A"/>
    <w:rsid w:val="00822D45"/>
    <w:rsid w:val="008310A7"/>
    <w:rsid w:val="00846FA1"/>
    <w:rsid w:val="00847FB4"/>
    <w:rsid w:val="00850670"/>
    <w:rsid w:val="00856042"/>
    <w:rsid w:val="0085791C"/>
    <w:rsid w:val="0085798E"/>
    <w:rsid w:val="008607F1"/>
    <w:rsid w:val="00872395"/>
    <w:rsid w:val="0088483A"/>
    <w:rsid w:val="00890DA7"/>
    <w:rsid w:val="008A2860"/>
    <w:rsid w:val="008A6060"/>
    <w:rsid w:val="008B6B6A"/>
    <w:rsid w:val="008B6EA9"/>
    <w:rsid w:val="008C0A3F"/>
    <w:rsid w:val="008C39B3"/>
    <w:rsid w:val="008C47BC"/>
    <w:rsid w:val="008D4404"/>
    <w:rsid w:val="008F0353"/>
    <w:rsid w:val="008F250D"/>
    <w:rsid w:val="008F5394"/>
    <w:rsid w:val="008F667D"/>
    <w:rsid w:val="00906B5A"/>
    <w:rsid w:val="00906D62"/>
    <w:rsid w:val="00906FC2"/>
    <w:rsid w:val="0091247D"/>
    <w:rsid w:val="00921C43"/>
    <w:rsid w:val="0092311E"/>
    <w:rsid w:val="00931A63"/>
    <w:rsid w:val="0093467A"/>
    <w:rsid w:val="00935E7C"/>
    <w:rsid w:val="00942586"/>
    <w:rsid w:val="0094571A"/>
    <w:rsid w:val="0094645B"/>
    <w:rsid w:val="0094737C"/>
    <w:rsid w:val="009507B6"/>
    <w:rsid w:val="00955E8A"/>
    <w:rsid w:val="009600F1"/>
    <w:rsid w:val="0096046F"/>
    <w:rsid w:val="00972CAE"/>
    <w:rsid w:val="00975397"/>
    <w:rsid w:val="00985BCD"/>
    <w:rsid w:val="00985C70"/>
    <w:rsid w:val="0099209E"/>
    <w:rsid w:val="009934A9"/>
    <w:rsid w:val="0099380F"/>
    <w:rsid w:val="00995E60"/>
    <w:rsid w:val="009A1E73"/>
    <w:rsid w:val="009A74AA"/>
    <w:rsid w:val="009B1FD9"/>
    <w:rsid w:val="009B38FA"/>
    <w:rsid w:val="009B4904"/>
    <w:rsid w:val="009C00D6"/>
    <w:rsid w:val="009C4AB0"/>
    <w:rsid w:val="009D3427"/>
    <w:rsid w:val="009D6E8B"/>
    <w:rsid w:val="009E7B62"/>
    <w:rsid w:val="009F2938"/>
    <w:rsid w:val="009F6365"/>
    <w:rsid w:val="009F79E9"/>
    <w:rsid w:val="009F7D43"/>
    <w:rsid w:val="00A0066F"/>
    <w:rsid w:val="00A0219B"/>
    <w:rsid w:val="00A04945"/>
    <w:rsid w:val="00A14A65"/>
    <w:rsid w:val="00A162B9"/>
    <w:rsid w:val="00A21901"/>
    <w:rsid w:val="00A2345A"/>
    <w:rsid w:val="00A27845"/>
    <w:rsid w:val="00A334DF"/>
    <w:rsid w:val="00A34437"/>
    <w:rsid w:val="00A413D4"/>
    <w:rsid w:val="00A4377E"/>
    <w:rsid w:val="00A4658E"/>
    <w:rsid w:val="00A50E0E"/>
    <w:rsid w:val="00A52186"/>
    <w:rsid w:val="00A52BF8"/>
    <w:rsid w:val="00A54A47"/>
    <w:rsid w:val="00A54A9A"/>
    <w:rsid w:val="00A57EC5"/>
    <w:rsid w:val="00A60E36"/>
    <w:rsid w:val="00A70373"/>
    <w:rsid w:val="00A707EB"/>
    <w:rsid w:val="00A73EB8"/>
    <w:rsid w:val="00A76430"/>
    <w:rsid w:val="00A76DA1"/>
    <w:rsid w:val="00A812A1"/>
    <w:rsid w:val="00A81727"/>
    <w:rsid w:val="00A82793"/>
    <w:rsid w:val="00A83CFD"/>
    <w:rsid w:val="00A840A8"/>
    <w:rsid w:val="00A860B8"/>
    <w:rsid w:val="00A90D17"/>
    <w:rsid w:val="00A96C6B"/>
    <w:rsid w:val="00AA5E01"/>
    <w:rsid w:val="00AA7DF0"/>
    <w:rsid w:val="00AB2336"/>
    <w:rsid w:val="00AB3727"/>
    <w:rsid w:val="00AB63C8"/>
    <w:rsid w:val="00AB6B66"/>
    <w:rsid w:val="00AC39EE"/>
    <w:rsid w:val="00AD0E36"/>
    <w:rsid w:val="00AD2205"/>
    <w:rsid w:val="00AD221A"/>
    <w:rsid w:val="00AD3DDF"/>
    <w:rsid w:val="00AD442B"/>
    <w:rsid w:val="00AD5183"/>
    <w:rsid w:val="00AD7851"/>
    <w:rsid w:val="00AE23E1"/>
    <w:rsid w:val="00AE30E1"/>
    <w:rsid w:val="00AE4AAB"/>
    <w:rsid w:val="00AF4EE0"/>
    <w:rsid w:val="00B042CC"/>
    <w:rsid w:val="00B05A66"/>
    <w:rsid w:val="00B1295C"/>
    <w:rsid w:val="00B22658"/>
    <w:rsid w:val="00B26E21"/>
    <w:rsid w:val="00B31052"/>
    <w:rsid w:val="00B3164C"/>
    <w:rsid w:val="00B437E0"/>
    <w:rsid w:val="00B5043D"/>
    <w:rsid w:val="00B5520D"/>
    <w:rsid w:val="00B56D1B"/>
    <w:rsid w:val="00B57252"/>
    <w:rsid w:val="00B62FEB"/>
    <w:rsid w:val="00B6407B"/>
    <w:rsid w:val="00B66970"/>
    <w:rsid w:val="00B67F5D"/>
    <w:rsid w:val="00B745E1"/>
    <w:rsid w:val="00B80407"/>
    <w:rsid w:val="00B804E1"/>
    <w:rsid w:val="00B82251"/>
    <w:rsid w:val="00BA2276"/>
    <w:rsid w:val="00BA2557"/>
    <w:rsid w:val="00BA27D9"/>
    <w:rsid w:val="00BA600E"/>
    <w:rsid w:val="00BB0003"/>
    <w:rsid w:val="00BB487B"/>
    <w:rsid w:val="00BB79EF"/>
    <w:rsid w:val="00BC344A"/>
    <w:rsid w:val="00BC35E4"/>
    <w:rsid w:val="00BC71CB"/>
    <w:rsid w:val="00BE40AC"/>
    <w:rsid w:val="00BF0357"/>
    <w:rsid w:val="00C01F74"/>
    <w:rsid w:val="00C03F78"/>
    <w:rsid w:val="00C15D04"/>
    <w:rsid w:val="00C2352E"/>
    <w:rsid w:val="00C320ED"/>
    <w:rsid w:val="00C344F5"/>
    <w:rsid w:val="00C40D43"/>
    <w:rsid w:val="00C47B5C"/>
    <w:rsid w:val="00C5029A"/>
    <w:rsid w:val="00C531F0"/>
    <w:rsid w:val="00C66182"/>
    <w:rsid w:val="00C67998"/>
    <w:rsid w:val="00C721E4"/>
    <w:rsid w:val="00C75F60"/>
    <w:rsid w:val="00C762C8"/>
    <w:rsid w:val="00C82D12"/>
    <w:rsid w:val="00C8406C"/>
    <w:rsid w:val="00C90831"/>
    <w:rsid w:val="00C9471D"/>
    <w:rsid w:val="00CB1910"/>
    <w:rsid w:val="00CB68E1"/>
    <w:rsid w:val="00CC280F"/>
    <w:rsid w:val="00CC6699"/>
    <w:rsid w:val="00CD2663"/>
    <w:rsid w:val="00CD5F74"/>
    <w:rsid w:val="00CF48BE"/>
    <w:rsid w:val="00CF7D83"/>
    <w:rsid w:val="00D02ED9"/>
    <w:rsid w:val="00D04241"/>
    <w:rsid w:val="00D05173"/>
    <w:rsid w:val="00D17043"/>
    <w:rsid w:val="00D223B9"/>
    <w:rsid w:val="00D2726A"/>
    <w:rsid w:val="00D335D1"/>
    <w:rsid w:val="00D345A8"/>
    <w:rsid w:val="00D353BC"/>
    <w:rsid w:val="00D36468"/>
    <w:rsid w:val="00D43299"/>
    <w:rsid w:val="00D51435"/>
    <w:rsid w:val="00D57ADA"/>
    <w:rsid w:val="00D63984"/>
    <w:rsid w:val="00D91343"/>
    <w:rsid w:val="00D924FB"/>
    <w:rsid w:val="00D9473D"/>
    <w:rsid w:val="00DA60AC"/>
    <w:rsid w:val="00DD63AE"/>
    <w:rsid w:val="00DD6ECC"/>
    <w:rsid w:val="00DE2B37"/>
    <w:rsid w:val="00DE7E71"/>
    <w:rsid w:val="00DF69E0"/>
    <w:rsid w:val="00E2704F"/>
    <w:rsid w:val="00E27981"/>
    <w:rsid w:val="00E32807"/>
    <w:rsid w:val="00E3427B"/>
    <w:rsid w:val="00E4070B"/>
    <w:rsid w:val="00E4565A"/>
    <w:rsid w:val="00E471A9"/>
    <w:rsid w:val="00E50582"/>
    <w:rsid w:val="00E511D5"/>
    <w:rsid w:val="00E651C8"/>
    <w:rsid w:val="00E65D88"/>
    <w:rsid w:val="00E679EF"/>
    <w:rsid w:val="00E73E21"/>
    <w:rsid w:val="00E8117C"/>
    <w:rsid w:val="00E812D2"/>
    <w:rsid w:val="00E83D07"/>
    <w:rsid w:val="00E84181"/>
    <w:rsid w:val="00E87C2E"/>
    <w:rsid w:val="00E935CB"/>
    <w:rsid w:val="00E93C5A"/>
    <w:rsid w:val="00E96CD0"/>
    <w:rsid w:val="00EA27A5"/>
    <w:rsid w:val="00EA3E0C"/>
    <w:rsid w:val="00EA5B19"/>
    <w:rsid w:val="00EA5D37"/>
    <w:rsid w:val="00EA69E0"/>
    <w:rsid w:val="00EB6B2F"/>
    <w:rsid w:val="00EC10F6"/>
    <w:rsid w:val="00EC5C02"/>
    <w:rsid w:val="00ED196A"/>
    <w:rsid w:val="00ED3CA2"/>
    <w:rsid w:val="00EF647C"/>
    <w:rsid w:val="00F0254B"/>
    <w:rsid w:val="00F05DD1"/>
    <w:rsid w:val="00F067B1"/>
    <w:rsid w:val="00F155CA"/>
    <w:rsid w:val="00F27272"/>
    <w:rsid w:val="00F40A79"/>
    <w:rsid w:val="00F43451"/>
    <w:rsid w:val="00F449C0"/>
    <w:rsid w:val="00F47E80"/>
    <w:rsid w:val="00F5447C"/>
    <w:rsid w:val="00F60962"/>
    <w:rsid w:val="00F61643"/>
    <w:rsid w:val="00F61CDA"/>
    <w:rsid w:val="00F63945"/>
    <w:rsid w:val="00F65CC1"/>
    <w:rsid w:val="00F66063"/>
    <w:rsid w:val="00F70152"/>
    <w:rsid w:val="00F711D1"/>
    <w:rsid w:val="00F723EF"/>
    <w:rsid w:val="00F731FE"/>
    <w:rsid w:val="00F776FF"/>
    <w:rsid w:val="00F77C05"/>
    <w:rsid w:val="00F83E91"/>
    <w:rsid w:val="00F866FA"/>
    <w:rsid w:val="00F87E57"/>
    <w:rsid w:val="00F903B1"/>
    <w:rsid w:val="00F92C36"/>
    <w:rsid w:val="00F94F30"/>
    <w:rsid w:val="00FA1678"/>
    <w:rsid w:val="00FA4DE7"/>
    <w:rsid w:val="00FA7206"/>
    <w:rsid w:val="00FB00B7"/>
    <w:rsid w:val="00FB37AA"/>
    <w:rsid w:val="00FB4F08"/>
    <w:rsid w:val="00FB7FFD"/>
    <w:rsid w:val="00FC0DBC"/>
    <w:rsid w:val="00FF18F6"/>
    <w:rsid w:val="00FF3F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A3D5B"/>
  <w15:chartTrackingRefBased/>
  <w15:docId w15:val="{0B3D7D51-9680-49C3-94C2-9817F83CC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A63"/>
    <w:rPr>
      <w:rFonts w:eastAsiaTheme="majorEastAsia" w:cstheme="majorBidi"/>
      <w:color w:val="272727" w:themeColor="text1" w:themeTint="D8"/>
    </w:rPr>
  </w:style>
  <w:style w:type="paragraph" w:styleId="Title">
    <w:name w:val="Title"/>
    <w:basedOn w:val="Normal"/>
    <w:next w:val="Normal"/>
    <w:link w:val="TitleChar"/>
    <w:uiPriority w:val="10"/>
    <w:qFormat/>
    <w:rsid w:val="00931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A63"/>
    <w:pPr>
      <w:spacing w:before="160"/>
      <w:jc w:val="center"/>
    </w:pPr>
    <w:rPr>
      <w:i/>
      <w:iCs/>
      <w:color w:val="404040" w:themeColor="text1" w:themeTint="BF"/>
    </w:rPr>
  </w:style>
  <w:style w:type="character" w:customStyle="1" w:styleId="QuoteChar">
    <w:name w:val="Quote Char"/>
    <w:basedOn w:val="DefaultParagraphFont"/>
    <w:link w:val="Quote"/>
    <w:uiPriority w:val="29"/>
    <w:rsid w:val="00931A63"/>
    <w:rPr>
      <w:i/>
      <w:iCs/>
      <w:color w:val="404040" w:themeColor="text1" w:themeTint="BF"/>
    </w:rPr>
  </w:style>
  <w:style w:type="paragraph" w:styleId="ListParagraph">
    <w:name w:val="List Paragraph"/>
    <w:basedOn w:val="Normal"/>
    <w:uiPriority w:val="34"/>
    <w:qFormat/>
    <w:rsid w:val="00931A63"/>
    <w:pPr>
      <w:ind w:left="720"/>
      <w:contextualSpacing/>
    </w:pPr>
  </w:style>
  <w:style w:type="character" w:styleId="IntenseEmphasis">
    <w:name w:val="Intense Emphasis"/>
    <w:basedOn w:val="DefaultParagraphFont"/>
    <w:uiPriority w:val="21"/>
    <w:qFormat/>
    <w:rsid w:val="00931A63"/>
    <w:rPr>
      <w:i/>
      <w:iCs/>
      <w:color w:val="0F4761" w:themeColor="accent1" w:themeShade="BF"/>
    </w:rPr>
  </w:style>
  <w:style w:type="paragraph" w:styleId="IntenseQuote">
    <w:name w:val="Intense Quote"/>
    <w:basedOn w:val="Normal"/>
    <w:next w:val="Normal"/>
    <w:link w:val="IntenseQuoteChar"/>
    <w:uiPriority w:val="30"/>
    <w:qFormat/>
    <w:rsid w:val="00931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A63"/>
    <w:rPr>
      <w:i/>
      <w:iCs/>
      <w:color w:val="0F4761" w:themeColor="accent1" w:themeShade="BF"/>
    </w:rPr>
  </w:style>
  <w:style w:type="character" w:styleId="IntenseReference">
    <w:name w:val="Intense Reference"/>
    <w:basedOn w:val="DefaultParagraphFont"/>
    <w:uiPriority w:val="32"/>
    <w:qFormat/>
    <w:rsid w:val="00931A63"/>
    <w:rPr>
      <w:b/>
      <w:bCs/>
      <w:smallCaps/>
      <w:color w:val="0F4761" w:themeColor="accent1" w:themeShade="BF"/>
      <w:spacing w:val="5"/>
    </w:rPr>
  </w:style>
  <w:style w:type="paragraph" w:styleId="Header">
    <w:name w:val="header"/>
    <w:basedOn w:val="Normal"/>
    <w:link w:val="HeaderChar"/>
    <w:uiPriority w:val="99"/>
    <w:unhideWhenUsed/>
    <w:rsid w:val="002F5F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FE7"/>
  </w:style>
  <w:style w:type="paragraph" w:styleId="Footer">
    <w:name w:val="footer"/>
    <w:basedOn w:val="Normal"/>
    <w:link w:val="FooterChar"/>
    <w:uiPriority w:val="99"/>
    <w:unhideWhenUsed/>
    <w:rsid w:val="002F5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F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1</Characters>
  <Application>Microsoft Office Word</Application>
  <DocSecurity>0</DocSecurity>
  <Lines>1</Lines>
  <Paragraphs>1</Paragraphs>
  <ScaleCrop>false</ScaleCrop>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Bassam Bukhowa</dc:creator>
  <cp:keywords/>
  <dc:description/>
  <cp:lastModifiedBy>Bassam Bukhowa</cp:lastModifiedBy>
  <cp:revision>4</cp:revision>
  <dcterms:created xsi:type="dcterms:W3CDTF">2026-05-16T22:44:00Z</dcterms:created>
  <dcterms:modified xsi:type="dcterms:W3CDTF">2026-05-20T12:02:00Z</dcterms:modified>
</cp:coreProperties>
</file>