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7fda4c7d5be855c9548751a645309fc4d956770"/>
    <w:p>
      <w:pPr>
        <w:pStyle w:val="Heading1"/>
      </w:pPr>
      <w:r>
        <w:t xml:space="preserve">Investigation Notes: SFERA Legal &amp; Luis Guillermo Alfaro Vargas</w:t>
      </w:r>
    </w:p>
    <w:p>
      <w:pPr>
        <w:pStyle w:val="FirstParagraph"/>
      </w:pPr>
      <w:r>
        <w:rPr>
          <w:b/>
          <w:bCs/>
        </w:rPr>
        <w:t xml:space="preserve">Date:</w:t>
      </w:r>
      <w:r>
        <w:t xml:space="preserve"> </w:t>
      </w:r>
      <w:r>
        <w:t xml:space="preserve">May 24, 2026</w:t>
      </w:r>
      <w:r>
        <w:t xml:space="preserve"> </w:t>
      </w:r>
      <w:r>
        <w:rPr>
          <w:b/>
          <w:bCs/>
        </w:rPr>
        <w:t xml:space="preserve">Re:</w:t>
      </w:r>
      <w:r>
        <w:t xml:space="preserve"> </w:t>
      </w:r>
      <w:r>
        <w:t xml:space="preserve">Mar Azul Condominium Cases — Background Research</w:t>
      </w:r>
      <w:r>
        <w:t xml:space="preserve"> </w:t>
      </w:r>
      <w:r>
        <w:rPr>
          <w:b/>
          <w:bCs/>
        </w:rPr>
        <w:t xml:space="preserve">From:</w:t>
      </w:r>
      <w:r>
        <w:t xml:space="preserve"> </w:t>
      </w:r>
      <w:r>
        <w:t xml:space="preserve">Marion Peri</w:t>
      </w:r>
      <w:r>
        <w:t xml:space="preserve"> </w:t>
      </w:r>
      <w:r>
        <w:rPr>
          <w:b/>
          <w:bCs/>
        </w:rPr>
        <w:t xml:space="preserve">To:</w:t>
      </w:r>
      <w:r>
        <w:t xml:space="preserve"> </w:t>
      </w:r>
      <w:r>
        <w:t xml:space="preserve">Legal Team (Edwin, Catalina)</w:t>
      </w:r>
    </w:p>
    <w:p>
      <w:r>
        <w:pict>
          <v:rect style="width:0;height:1.5pt" o:hralign="center" o:hrstd="t" o:hr="t"/>
        </w:pict>
      </w:r>
    </w:p>
    <w:bookmarkStart w:id="9" w:name="summary"/>
    <w:p>
      <w:pPr>
        <w:pStyle w:val="Heading2"/>
      </w:pPr>
      <w:r>
        <w:t xml:space="preserve">Summary</w:t>
      </w:r>
    </w:p>
    <w:p>
      <w:pPr>
        <w:pStyle w:val="FirstParagraph"/>
      </w:pPr>
      <w:r>
        <w:t xml:space="preserve">I’ve been doing some digging into SFERA Legal and their lead attorney on our cases, Luis Guillermo Alfaro Vargas. Found some things that might help explain the patterns we’ve been seeing. Need your help connecting the dots.</w:t>
      </w:r>
    </w:p>
    <w:p>
      <w:r>
        <w:pict>
          <v:rect style="width:0;height:1.5pt" o:hralign="center" o:hrstd="t" o:hr="t"/>
        </w:pict>
      </w:r>
    </w:p>
    <w:bookmarkEnd w:id="9"/>
    <w:bookmarkStart w:id="10" w:name="X2f34461440c9129d274d65b65504a3fe06ed2fd"/>
    <w:p>
      <w:pPr>
        <w:pStyle w:val="Heading2"/>
      </w:pPr>
      <w:r>
        <w:t xml:space="preserve">Luis Guillermo Alfaro Vargas — The Key Finding</w:t>
      </w:r>
    </w:p>
    <w:p>
      <w:pPr>
        <w:pStyle w:val="FirstParagraph"/>
      </w:pPr>
      <w:r>
        <w:t xml:space="preserve">According to his LinkedIn profile and public records:</w:t>
      </w:r>
    </w:p>
    <w:p>
      <w:pPr>
        <w:pStyle w:val="Compact"/>
        <w:numPr>
          <w:ilvl w:val="0"/>
          <w:numId w:val="1001"/>
        </w:numPr>
      </w:pPr>
      <w:r>
        <w:rPr>
          <w:b/>
          <w:bCs/>
        </w:rPr>
        <w:t xml:space="preserve">Cédula:</w:t>
      </w:r>
      <w:r>
        <w:t xml:space="preserve"> </w:t>
      </w:r>
      <w:r>
        <w:t xml:space="preserve">2-0671-0595</w:t>
      </w:r>
    </w:p>
    <w:p>
      <w:pPr>
        <w:pStyle w:val="Compact"/>
        <w:numPr>
          <w:ilvl w:val="0"/>
          <w:numId w:val="1001"/>
        </w:numPr>
      </w:pPr>
      <w:r>
        <w:rPr>
          <w:b/>
          <w:bCs/>
        </w:rPr>
        <w:t xml:space="preserve">Current role:</w:t>
      </w:r>
      <w:r>
        <w:t xml:space="preserve"> </w:t>
      </w:r>
      <w:r>
        <w:t xml:space="preserve">Attorney at SFERA Legal (handling all filings against Mar Azul)</w:t>
      </w:r>
    </w:p>
    <w:p>
      <w:pPr>
        <w:pStyle w:val="Compact"/>
        <w:numPr>
          <w:ilvl w:val="0"/>
          <w:numId w:val="1001"/>
        </w:numPr>
      </w:pPr>
      <w:r>
        <w:rPr>
          <w:b/>
          <w:bCs/>
        </w:rPr>
        <w:t xml:space="preserve">Previous role:</w:t>
      </w:r>
      <w:r>
        <w:t xml:space="preserve"> </w:t>
      </w:r>
      <w:r>
        <w:t xml:space="preserve">JUDGE at the Poder Judicial de Costa Rica (2021-2024)</w:t>
      </w:r>
    </w:p>
    <w:p>
      <w:pPr>
        <w:pStyle w:val="Compact"/>
        <w:numPr>
          <w:ilvl w:val="0"/>
          <w:numId w:val="1001"/>
        </w:numPr>
      </w:pPr>
      <w:r>
        <w:rPr>
          <w:b/>
          <w:bCs/>
        </w:rPr>
        <w:t xml:space="preserve">Also:</w:t>
      </w:r>
      <w:r>
        <w:t xml:space="preserve"> </w:t>
      </w:r>
      <w:r>
        <w:t xml:space="preserve">University professor at Universidad Escuela Libre de Derecho</w:t>
      </w:r>
    </w:p>
    <w:p>
      <w:pPr>
        <w:pStyle w:val="FirstParagraph"/>
      </w:pPr>
      <w:r>
        <w:rPr>
          <w:b/>
          <w:bCs/>
        </w:rPr>
        <w:t xml:space="preserve">This raises some serious questions:</w:t>
      </w:r>
    </w:p>
    <w:p>
      <w:pPr>
        <w:numPr>
          <w:ilvl w:val="0"/>
          <w:numId w:val="1002"/>
        </w:numPr>
      </w:pPr>
      <w:r>
        <w:t xml:space="preserve">Where exactly was he a judge? If it was anywhere in Guanacaste or Nicoya, that’s a direct conflict of interest.</w:t>
      </w:r>
    </w:p>
    <w:p>
      <w:pPr>
        <w:numPr>
          <w:ilvl w:val="0"/>
          <w:numId w:val="1002"/>
        </w:numPr>
      </w:pPr>
      <w:r>
        <w:t xml:space="preserve">Did he work with any of the judges now ruling on our cases? Specifically:</w:t>
      </w:r>
    </w:p>
    <w:p>
      <w:pPr>
        <w:pStyle w:val="Compact"/>
        <w:numPr>
          <w:ilvl w:val="1"/>
          <w:numId w:val="1003"/>
        </w:numPr>
      </w:pPr>
      <w:r>
        <w:t xml:space="preserve">Virginia Patricia Sánchez Chaves (granted the 2025 cautelar)</w:t>
      </w:r>
    </w:p>
    <w:p>
      <w:pPr>
        <w:pStyle w:val="Compact"/>
        <w:numPr>
          <w:ilvl w:val="1"/>
          <w:numId w:val="1003"/>
        </w:numPr>
      </w:pPr>
      <w:r>
        <w:t xml:space="preserve">José Carlos Aguilar Bonilla (handling the 2026 case)</w:t>
      </w:r>
    </w:p>
    <w:p>
      <w:pPr>
        <w:numPr>
          <w:ilvl w:val="0"/>
          <w:numId w:val="1002"/>
        </w:numPr>
      </w:pPr>
      <w:r>
        <w:t xml:space="preserve">When did he leave the bench and join SFERA? Our dispute started in 2025 — was he still a judge when this began?</w:t>
      </w:r>
    </w:p>
    <w:p>
      <w:pPr>
        <w:numPr>
          <w:ilvl w:val="0"/>
          <w:numId w:val="1002"/>
        </w:numPr>
      </w:pPr>
      <w:r>
        <w:t xml:space="preserve">Does this explain why SFERA seems to get favorable treatment in Nicoya courts?</w:t>
      </w:r>
    </w:p>
    <w:p>
      <w:r>
        <w:pict>
          <v:rect style="width:0;height:1.5pt" o:hralign="center" o:hrstd="t" o:hr="t"/>
        </w:pict>
      </w:r>
    </w:p>
    <w:bookmarkEnd w:id="10"/>
    <w:bookmarkStart w:id="11" w:name="the-judges-on-our-cases"/>
    <w:p>
      <w:pPr>
        <w:pStyle w:val="Heading2"/>
      </w:pPr>
      <w:r>
        <w:t xml:space="preserve">The Judges on Our Cases</w:t>
      </w:r>
    </w:p>
    <w:tbl>
      <w:tblPr>
        <w:tblStyle w:val="Table"/>
        <w:tblW w:type="pct" w:w="5000"/>
        <w:tblLayout w:type="fixed"/>
        <w:tblLook w:firstRow="1" w:lastRow="0" w:firstColumn="0" w:lastColumn="0" w:noHBand="0" w:noVBand="0" w:val="0020"/>
      </w:tblPr>
      <w:tblGrid>
        <w:gridCol w:w="1760"/>
        <w:gridCol w:w="1760"/>
        <w:gridCol w:w="2053"/>
        <w:gridCol w:w="2346"/>
      </w:tblGrid>
      <w:tr>
        <w:trPr>
          <w:tblHeader w:val="on"/>
        </w:trPr>
        <w:tc>
          <w:tcPr/>
          <w:p>
            <w:pPr>
              <w:pStyle w:val="Compact"/>
            </w:pPr>
            <w:r>
              <w:t xml:space="preserve">Case</w:t>
            </w:r>
          </w:p>
        </w:tc>
        <w:tc>
          <w:tcPr/>
          <w:p>
            <w:pPr>
              <w:pStyle w:val="Compact"/>
            </w:pPr>
            <w:r>
              <w:t xml:space="preserve">Year</w:t>
            </w:r>
          </w:p>
        </w:tc>
        <w:tc>
          <w:tcPr/>
          <w:p>
            <w:pPr>
              <w:pStyle w:val="Compact"/>
            </w:pPr>
            <w:r>
              <w:t xml:space="preserve">Judge</w:t>
            </w:r>
          </w:p>
        </w:tc>
        <w:tc>
          <w:tcPr/>
          <w:p>
            <w:pPr>
              <w:pStyle w:val="Compact"/>
            </w:pPr>
            <w:r>
              <w:t xml:space="preserve">Ruling</w:t>
            </w:r>
          </w:p>
        </w:tc>
      </w:tr>
      <w:tr>
        <w:tc>
          <w:tcPr/>
          <w:p>
            <w:pPr>
              <w:pStyle w:val="Compact"/>
            </w:pPr>
            <w:r>
              <w:t xml:space="preserve">25-000060-2018-CI</w:t>
            </w:r>
          </w:p>
        </w:tc>
        <w:tc>
          <w:tcPr/>
          <w:p>
            <w:pPr>
              <w:pStyle w:val="Compact"/>
            </w:pPr>
            <w:r>
              <w:t xml:space="preserve">2025</w:t>
            </w:r>
          </w:p>
        </w:tc>
        <w:tc>
          <w:tcPr/>
          <w:p>
            <w:pPr>
              <w:pStyle w:val="Compact"/>
            </w:pPr>
            <w:r>
              <w:t xml:space="preserve">Virginia Patricia Sánchez Chaves</w:t>
            </w:r>
          </w:p>
        </w:tc>
        <w:tc>
          <w:tcPr/>
          <w:p>
            <w:pPr>
              <w:pStyle w:val="Compact"/>
            </w:pPr>
            <w:r>
              <w:t xml:space="preserve">Granted cautelar to SFERA</w:t>
            </w:r>
          </w:p>
        </w:tc>
      </w:tr>
      <w:tr>
        <w:tc>
          <w:tcPr/>
          <w:p>
            <w:pPr>
              <w:pStyle w:val="Compact"/>
            </w:pPr>
            <w:r>
              <w:t xml:space="preserve">25-000060-2018-CI</w:t>
            </w:r>
          </w:p>
        </w:tc>
        <w:tc>
          <w:tcPr/>
          <w:p>
            <w:pPr>
              <w:pStyle w:val="Compact"/>
            </w:pPr>
            <w:r>
              <w:t xml:space="preserve">2025</w:t>
            </w:r>
          </w:p>
        </w:tc>
        <w:tc>
          <w:tcPr/>
          <w:p>
            <w:pPr>
              <w:pStyle w:val="Compact"/>
            </w:pPr>
            <w:r>
              <w:t xml:space="preserve">José Alexander Contreras Barrantes</w:t>
            </w:r>
          </w:p>
        </w:tc>
        <w:tc>
          <w:tcPr/>
          <w:p>
            <w:pPr>
              <w:pStyle w:val="Compact"/>
            </w:pPr>
            <w:r>
              <w:t xml:space="preserve">Set $32K guarantee</w:t>
            </w:r>
          </w:p>
        </w:tc>
      </w:tr>
      <w:tr>
        <w:tc>
          <w:tcPr/>
          <w:p>
            <w:pPr>
              <w:pStyle w:val="Compact"/>
            </w:pPr>
            <w:r>
              <w:t xml:space="preserve">26-000076-1632-CI</w:t>
            </w:r>
          </w:p>
        </w:tc>
        <w:tc>
          <w:tcPr/>
          <w:p>
            <w:pPr>
              <w:pStyle w:val="Compact"/>
            </w:pPr>
            <w:r>
              <w:t xml:space="preserve">2026</w:t>
            </w:r>
          </w:p>
        </w:tc>
        <w:tc>
          <w:tcPr/>
          <w:p>
            <w:pPr>
              <w:pStyle w:val="Compact"/>
            </w:pPr>
            <w:r>
              <w:t xml:space="preserve">José Carlos Aguilar Bonilla</w:t>
            </w:r>
          </w:p>
        </w:tc>
        <w:tc>
          <w:tcPr/>
          <w:p>
            <w:pPr>
              <w:pStyle w:val="Compact"/>
            </w:pPr>
            <w:r>
              <w:t xml:space="preserve">Rejected urgency claim</w:t>
            </w:r>
          </w:p>
        </w:tc>
      </w:tr>
    </w:tbl>
    <w:p>
      <w:pPr>
        <w:pStyle w:val="BodyText"/>
      </w:pPr>
      <w:r>
        <w:rPr>
          <w:b/>
          <w:bCs/>
        </w:rPr>
        <w:t xml:space="preserve">Virginia Patricia Sánchez Chaves</w:t>
      </w:r>
      <w:r>
        <w:t xml:space="preserve"> </w:t>
      </w:r>
      <w:r>
        <w:t xml:space="preserve">handles a lot of condominium cases in Nicoya. I found her name on multiple boletín judicial entries for condominium matters (Bello Horizonte, Málaga, La Hacienda del Bosque, etc.). She’s clearly the go-to judge for these disputes in the region.</w:t>
      </w:r>
    </w:p>
    <w:p>
      <w:pPr>
        <w:pStyle w:val="BodyText"/>
      </w:pPr>
      <w:r>
        <w:t xml:space="preserve">The question is: Did she work with Alfaro Vargas when he was a judge? Is there a professional relationship there?</w:t>
      </w:r>
    </w:p>
    <w:p>
      <w:r>
        <w:pict>
          <v:rect style="width:0;height:1.5pt" o:hralign="center" o:hrstd="t" o:hr="t"/>
        </w:pict>
      </w:r>
    </w:p>
    <w:bookmarkEnd w:id="11"/>
    <w:bookmarkStart w:id="12" w:name="sfera-legal-panama-papers-connection"/>
    <w:p>
      <w:pPr>
        <w:pStyle w:val="Heading2"/>
      </w:pPr>
      <w:r>
        <w:t xml:space="preserve">SFERA Legal — Panama Papers Connection</w:t>
      </w:r>
    </w:p>
    <w:p>
      <w:pPr>
        <w:pStyle w:val="FirstParagraph"/>
      </w:pPr>
      <w:r>
        <w:t xml:space="preserve">The founding partners of SFERA (Eric Scharf, Robert van der Putten) previously ran a firm called Feinzaig, Scharf &amp; van der Putten. That firm appears in the ICIJ Panama Papers database as an</w:t>
      </w:r>
      <w:r>
        <w:t xml:space="preserve"> </w:t>
      </w:r>
      <w:r>
        <w:t xml:space="preserve">“intermediary”</w:t>
      </w:r>
      <w:r>
        <w:t xml:space="preserve"> </w:t>
      </w:r>
      <w:r>
        <w:t xml:space="preserve">for offshore shell companies:</w:t>
      </w:r>
    </w:p>
    <w:p>
      <w:pPr>
        <w:pStyle w:val="Compact"/>
        <w:numPr>
          <w:ilvl w:val="0"/>
          <w:numId w:val="1004"/>
        </w:numPr>
      </w:pPr>
      <w:r>
        <w:rPr>
          <w:b/>
          <w:bCs/>
        </w:rPr>
        <w:t xml:space="preserve">TOSCANA T., INC.</w:t>
      </w:r>
      <w:r>
        <w:t xml:space="preserve"> </w:t>
      </w:r>
      <w:r>
        <w:t xml:space="preserve">— British Virgin Islands (status: Defaulted)</w:t>
      </w:r>
    </w:p>
    <w:p>
      <w:pPr>
        <w:pStyle w:val="Compact"/>
        <w:numPr>
          <w:ilvl w:val="0"/>
          <w:numId w:val="1004"/>
        </w:numPr>
      </w:pPr>
      <w:r>
        <w:rPr>
          <w:b/>
          <w:bCs/>
        </w:rPr>
        <w:t xml:space="preserve">RCI INTERNATIONAL, INC.</w:t>
      </w:r>
      <w:r>
        <w:t xml:space="preserve"> </w:t>
      </w:r>
      <w:r>
        <w:t xml:space="preserve">— British Virgin Islands (status: Defaulted)</w:t>
      </w:r>
    </w:p>
    <w:p>
      <w:pPr>
        <w:pStyle w:val="FirstParagraph"/>
      </w:pPr>
      <w:r>
        <w:t xml:space="preserve">Source: https://offshoreleaks.icij.org/nodes/11001939</w:t>
      </w:r>
    </w:p>
    <w:p>
      <w:pPr>
        <w:pStyle w:val="BodyText"/>
      </w:pPr>
      <w:r>
        <w:t xml:space="preserve">This doesn’t prove anything illegal — lots of law firms help set up offshore structures. But it does show they operate in gray areas. The predecessor firm was working with Mossack Fonseca before that operation got shut down.</w:t>
      </w:r>
    </w:p>
    <w:p>
      <w:r>
        <w:pict>
          <v:rect style="width:0;height:1.5pt" o:hralign="center" o:hrstd="t" o:hr="t"/>
        </w:pict>
      </w:r>
    </w:p>
    <w:bookmarkEnd w:id="12"/>
    <w:bookmarkStart w:id="13" w:name="sferas-claim-about-coca-colapepsi"/>
    <w:p>
      <w:pPr>
        <w:pStyle w:val="Heading2"/>
      </w:pPr>
      <w:r>
        <w:t xml:space="preserve">SFERA’s Claim About Coca-Cola/Pepsi</w:t>
      </w:r>
    </w:p>
    <w:p>
      <w:pPr>
        <w:pStyle w:val="FirstParagraph"/>
      </w:pPr>
      <w:r>
        <w:t xml:space="preserve">Someone close to SFERA claimed they</w:t>
      </w:r>
      <w:r>
        <w:t xml:space="preserve"> </w:t>
      </w:r>
      <w:r>
        <w:t xml:space="preserve">“own Coca-Cola and Pepsi in Costa Rica.”</w:t>
      </w:r>
      <w:r>
        <w:t xml:space="preserve"> </w:t>
      </w:r>
      <w:r>
        <w:t xml:space="preserve">I researched this and it’s false:</w:t>
      </w:r>
    </w:p>
    <w:p>
      <w:pPr>
        <w:pStyle w:val="Compact"/>
        <w:numPr>
          <w:ilvl w:val="0"/>
          <w:numId w:val="1005"/>
        </w:numPr>
      </w:pPr>
      <w:r>
        <w:t xml:space="preserve">Coca-Cola bottling in Costa Rica is owned by Coca-Cola FEMSA (Mexican company)</w:t>
      </w:r>
    </w:p>
    <w:p>
      <w:pPr>
        <w:pStyle w:val="Compact"/>
        <w:numPr>
          <w:ilvl w:val="0"/>
          <w:numId w:val="1005"/>
        </w:numPr>
      </w:pPr>
      <w:r>
        <w:t xml:space="preserve">Pepsi uses independent franchise bottlers</w:t>
      </w:r>
    </w:p>
    <w:p>
      <w:pPr>
        <w:pStyle w:val="FirstParagraph"/>
      </w:pPr>
      <w:r>
        <w:t xml:space="preserve">SFERA is a law firm, not a holding company. They might represent beverage companies as clients, but they don’t own them. This was either drunk boasting or deliberate intimidation.</w:t>
      </w:r>
    </w:p>
    <w:p>
      <w:r>
        <w:pict>
          <v:rect style="width:0;height:1.5pt" o:hralign="center" o:hrstd="t" o:hr="t"/>
        </w:pict>
      </w:r>
    </w:p>
    <w:bookmarkEnd w:id="13"/>
    <w:bookmarkStart w:id="14" w:name="what-i-need-from-you"/>
    <w:p>
      <w:pPr>
        <w:pStyle w:val="Heading2"/>
      </w:pPr>
      <w:r>
        <w:t xml:space="preserve">What I Need From You</w:t>
      </w:r>
    </w:p>
    <w:p>
      <w:pPr>
        <w:numPr>
          <w:ilvl w:val="0"/>
          <w:numId w:val="1006"/>
        </w:numPr>
      </w:pPr>
      <w:r>
        <w:rPr>
          <w:b/>
          <w:bCs/>
        </w:rPr>
        <w:t xml:space="preserve">Can you verify where Alfaro Vargas was a judge?</w:t>
      </w:r>
      <w:r>
        <w:t xml:space="preserve"> </w:t>
      </w:r>
      <w:r>
        <w:t xml:space="preserve">The Colegio de Abogados or Poder Judicial should have records of his judicial appointments.</w:t>
      </w:r>
    </w:p>
    <w:p>
      <w:pPr>
        <w:numPr>
          <w:ilvl w:val="0"/>
          <w:numId w:val="1006"/>
        </w:numPr>
      </w:pPr>
      <w:r>
        <w:rPr>
          <w:b/>
          <w:bCs/>
        </w:rPr>
        <w:t xml:space="preserve">Is there a way to check if he worked with any of the judges on our cases?</w:t>
      </w:r>
      <w:r>
        <w:t xml:space="preserve"> </w:t>
      </w:r>
      <w:r>
        <w:t xml:space="preserve">Court assignments, shared cases, anything.</w:t>
      </w:r>
    </w:p>
    <w:p>
      <w:pPr>
        <w:numPr>
          <w:ilvl w:val="0"/>
          <w:numId w:val="1006"/>
        </w:numPr>
      </w:pPr>
      <w:r>
        <w:rPr>
          <w:b/>
          <w:bCs/>
        </w:rPr>
        <w:t xml:space="preserve">Can we use this as grounds for recusación?</w:t>
      </w:r>
      <w:r>
        <w:t xml:space="preserve"> </w:t>
      </w:r>
      <w:r>
        <w:t xml:space="preserve">If a former colleague is now appearing as opposing counsel, doesn’t that create a conflict?</w:t>
      </w:r>
    </w:p>
    <w:p>
      <w:pPr>
        <w:numPr>
          <w:ilvl w:val="0"/>
          <w:numId w:val="1006"/>
        </w:numPr>
      </w:pPr>
      <w:r>
        <w:rPr>
          <w:b/>
          <w:bCs/>
        </w:rPr>
        <w:t xml:space="preserve">Should we file a complaint with the Colegio de Abogados?</w:t>
      </w:r>
      <w:r>
        <w:t xml:space="preserve"> </w:t>
      </w:r>
      <w:r>
        <w:t xml:space="preserve">The revolving door from judge to attorney seems like it should have some ethical review.</w:t>
      </w:r>
    </w:p>
    <w:p>
      <w:pPr>
        <w:numPr>
          <w:ilvl w:val="0"/>
          <w:numId w:val="1006"/>
        </w:numPr>
      </w:pPr>
      <w:r>
        <w:rPr>
          <w:b/>
          <w:bCs/>
        </w:rPr>
        <w:t xml:space="preserve">What’s the procedure to request a change of venue?</w:t>
      </w:r>
      <w:r>
        <w:t xml:space="preserve"> </w:t>
      </w:r>
      <w:r>
        <w:t xml:space="preserve">If the Nicoya court system has these entanglements, can we move the case to San José?</w:t>
      </w:r>
    </w:p>
    <w:p>
      <w:r>
        <w:pict>
          <v:rect style="width:0;height:1.5pt" o:hralign="center" o:hrstd="t" o:hr="t"/>
        </w:pict>
      </w:r>
    </w:p>
    <w:bookmarkEnd w:id="14"/>
    <w:bookmarkStart w:id="15" w:name="the-pattern-were-seeing"/>
    <w:p>
      <w:pPr>
        <w:pStyle w:val="Heading2"/>
      </w:pPr>
      <w:r>
        <w:t xml:space="preserve">The Pattern We’re Seeing</w:t>
      </w:r>
    </w:p>
    <w:p>
      <w:pPr>
        <w:pStyle w:val="Compact"/>
        <w:numPr>
          <w:ilvl w:val="0"/>
          <w:numId w:val="1007"/>
        </w:numPr>
      </w:pPr>
      <w:r>
        <w:t xml:space="preserve">SFERA files aggressive litigation (cautelares, denuncias penales)</w:t>
      </w:r>
    </w:p>
    <w:p>
      <w:pPr>
        <w:pStyle w:val="Compact"/>
        <w:numPr>
          <w:ilvl w:val="0"/>
          <w:numId w:val="1007"/>
        </w:numPr>
      </w:pPr>
      <w:r>
        <w:t xml:space="preserve">They get favorable rulings quickly</w:t>
      </w:r>
    </w:p>
    <w:p>
      <w:pPr>
        <w:pStyle w:val="Compact"/>
        <w:numPr>
          <w:ilvl w:val="0"/>
          <w:numId w:val="1007"/>
        </w:numPr>
      </w:pPr>
      <w:r>
        <w:t xml:space="preserve">Their attorney is a former judge</w:t>
      </w:r>
    </w:p>
    <w:p>
      <w:pPr>
        <w:pStyle w:val="Compact"/>
        <w:numPr>
          <w:ilvl w:val="0"/>
          <w:numId w:val="1007"/>
        </w:numPr>
      </w:pPr>
      <w:r>
        <w:t xml:space="preserve">Catalina suspects someone in the fiscalía is on their payroll</w:t>
      </w:r>
    </w:p>
    <w:p>
      <w:pPr>
        <w:pStyle w:val="Compact"/>
        <w:numPr>
          <w:ilvl w:val="0"/>
          <w:numId w:val="1007"/>
        </w:numPr>
      </w:pPr>
      <w:r>
        <w:t xml:space="preserve">4 criminal denuncias filed against us — all being archived for lack of merit</w:t>
      </w:r>
    </w:p>
    <w:p>
      <w:pPr>
        <w:pStyle w:val="FirstParagraph"/>
      </w:pPr>
      <w:r>
        <w:t xml:space="preserve">This feels coordinated. The Alfaro Vargas connection might be the thread that unravels it.</w:t>
      </w:r>
    </w:p>
    <w:p>
      <w:r>
        <w:pict>
          <v:rect style="width:0;height:1.5pt" o:hralign="center" o:hrstd="t" o:hr="t"/>
        </w:pict>
      </w:r>
    </w:p>
    <w:bookmarkEnd w:id="15"/>
    <w:bookmarkStart w:id="16" w:name="next-steps"/>
    <w:p>
      <w:pPr>
        <w:pStyle w:val="Heading2"/>
      </w:pPr>
      <w:r>
        <w:t xml:space="preserve">Next Steps</w:t>
      </w:r>
    </w:p>
    <w:p>
      <w:pPr>
        <w:pStyle w:val="FirstParagraph"/>
      </w:pPr>
      <w:r>
        <w:t xml:space="preserve">Let me know what additional information would be helpful. I have access to the full expediente and can pull more details if needed.</w:t>
      </w:r>
    </w:p>
    <w:p>
      <w:pPr>
        <w:pStyle w:val="BodyText"/>
      </w:pPr>
      <w:r>
        <w:t xml:space="preserve">Also — someone offered to arrange a meeting with Rafael Cañas (SFERA’s Managing Partner). I declined for now, but let me know if you think there’s value in hearing what they have to say.</w:t>
      </w:r>
    </w:p>
    <w:p>
      <w:r>
        <w:pict>
          <v:rect style="width:0;height:1.5pt" o:hralign="center" o:hrstd="t" o:hr="t"/>
        </w:pict>
      </w:r>
    </w:p>
    <w:p>
      <w:pPr>
        <w:pStyle w:val="FirstParagraph"/>
      </w:pPr>
      <w:r>
        <w:t xml:space="preserve">Marion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2026-05-24T17:17:51Z</dcterms:created>
  <dcterms:modified xsi:type="dcterms:W3CDTF">2026-05-24T17:17:51Z</dcterms:modified>
</cp:coreProperties>
</file>

<file path=docProps/custom.xml><?xml version="1.0" encoding="utf-8"?>
<Properties xmlns="http://schemas.openxmlformats.org/officeDocument/2006/custom-properties" xmlns:vt="http://schemas.openxmlformats.org/officeDocument/2006/docPropsVTypes"/>
</file>