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spuesta-a-solicitud-de-medida-cautelar"/>
    <w:p>
      <w:pPr>
        <w:pStyle w:val="Heading1"/>
      </w:pPr>
      <w:r>
        <w:t xml:space="preserve">RESPUESTA A SOLICITUD DE MEDIDA CAUTELAR</w:t>
      </w:r>
    </w:p>
    <w:bookmarkStart w:id="9" w:name="expediente-26-000076-1632-ci"/>
    <w:p>
      <w:pPr>
        <w:pStyle w:val="Heading2"/>
      </w:pPr>
      <w:r>
        <w:t xml:space="preserve">Expediente: 26-000076-1632-CI</w:t>
      </w:r>
    </w:p>
    <w:p>
      <w:pPr>
        <w:pStyle w:val="FirstParagraph"/>
      </w:pPr>
      <w:r>
        <w:rPr>
          <w:b/>
          <w:bCs/>
        </w:rPr>
        <w:t xml:space="preserve">TRIBUNAL COLEGIADO DE PRIMERA INSTANCIA CIVIL DEL II CIRCUITO JUDICIAL DE GUANACASTE (NICOYA)</w:t>
      </w:r>
    </w:p>
    <w:p>
      <w:pPr>
        <w:pStyle w:val="BodyText"/>
      </w:pPr>
      <w:r>
        <w:rPr>
          <w:b/>
          <w:bCs/>
        </w:rPr>
        <w:t xml:space="preserve">Proceso:</w:t>
      </w:r>
      <w:r>
        <w:t xml:space="preserve"> </w:t>
      </w:r>
      <w:r>
        <w:t xml:space="preserve">Suspensión Provisional de Acuerdos</w:t>
      </w:r>
      <w:r>
        <w:t xml:space="preserve"> </w:t>
      </w:r>
      <w:r>
        <w:rPr>
          <w:b/>
          <w:bCs/>
        </w:rPr>
        <w:t xml:space="preserve">Demandado:</w:t>
      </w:r>
      <w:r>
        <w:t xml:space="preserve"> </w:t>
      </w:r>
      <w:r>
        <w:t xml:space="preserve">Condominio Mar Azul, representado por Admin Mar Azul Nosara S.R.L.</w:t>
      </w:r>
      <w:r>
        <w:t xml:space="preserve"> </w:t>
      </w:r>
      <w:r>
        <w:rPr>
          <w:b/>
          <w:bCs/>
        </w:rPr>
        <w:t xml:space="preserve">Actores:</w:t>
      </w:r>
      <w:r>
        <w:t xml:space="preserve"> </w:t>
      </w:r>
      <w:r>
        <w:t xml:space="preserve">Rancho Verde Riabov Ltda., Gratum Nosara SRL, Propiedades y Terrenos Terrazas del Arco Iris Ltda., Rancho Azul Guzmán Ltda.</w:t>
      </w:r>
    </w:p>
    <w:p>
      <w:r>
        <w:pict>
          <v:rect style="width:0;height:1.5pt" o:hralign="center" o:hrstd="t" o:hr="t"/>
        </w:pict>
      </w:r>
    </w:p>
    <w:bookmarkEnd w:id="9"/>
    <w:bookmarkStart w:id="10" w:name="i.-resumen-ejecutivo"/>
    <w:p>
      <w:pPr>
        <w:pStyle w:val="Heading2"/>
      </w:pPr>
      <w:r>
        <w:t xml:space="preserve">I. RESUMEN EJECUTIVO</w:t>
      </w:r>
    </w:p>
    <w:p>
      <w:pPr>
        <w:pStyle w:val="FirstParagraph"/>
      </w:pPr>
      <w:r>
        <w:t xml:space="preserve">Se solicita al Tribunal</w:t>
      </w:r>
      <w:r>
        <w:t xml:space="preserve"> </w:t>
      </w:r>
      <w:r>
        <w:rPr>
          <w:b/>
          <w:bCs/>
        </w:rPr>
        <w:t xml:space="preserve">RECHAZAR</w:t>
      </w:r>
      <w:r>
        <w:t xml:space="preserve"> </w:t>
      </w:r>
      <w:r>
        <w:t xml:space="preserve">la medida cautelar por las siguientes razones:</w:t>
      </w:r>
    </w:p>
    <w:p>
      <w:pPr>
        <w:pStyle w:val="Compact"/>
        <w:numPr>
          <w:ilvl w:val="0"/>
          <w:numId w:val="1001"/>
        </w:numPr>
      </w:pPr>
      <w:r>
        <w:t xml:space="preserve">La asamblea fue convocada y celebrada conforme a derecho</w:t>
      </w:r>
    </w:p>
    <w:p>
      <w:pPr>
        <w:pStyle w:val="Compact"/>
        <w:numPr>
          <w:ilvl w:val="0"/>
          <w:numId w:val="1001"/>
        </w:numPr>
      </w:pPr>
      <w:r>
        <w:t xml:space="preserve">Los actores participaron, votaron, y perdieron democráticamente</w:t>
      </w:r>
    </w:p>
    <w:p>
      <w:pPr>
        <w:pStyle w:val="Compact"/>
        <w:numPr>
          <w:ilvl w:val="0"/>
          <w:numId w:val="1001"/>
        </w:numPr>
      </w:pPr>
      <w:r>
        <w:t xml:space="preserve">Se cumplió con el artículo 27 de la Ley de Propiedad en Condominio</w:t>
      </w:r>
    </w:p>
    <w:p>
      <w:pPr>
        <w:pStyle w:val="Compact"/>
        <w:numPr>
          <w:ilvl w:val="0"/>
          <w:numId w:val="1001"/>
        </w:numPr>
      </w:pPr>
      <w:r>
        <w:t xml:space="preserve">Los actores son morosos con deudas superiores a $6,000 cada uno</w:t>
      </w:r>
    </w:p>
    <w:p>
      <w:pPr>
        <w:pStyle w:val="Compact"/>
        <w:numPr>
          <w:ilvl w:val="0"/>
          <w:numId w:val="1001"/>
        </w:numPr>
      </w:pPr>
      <w:r>
        <w:t xml:space="preserve">No existe daño irreparable — el supuesto daño es auto-infligido por su negativa a pagar</w:t>
      </w:r>
    </w:p>
    <w:p>
      <w:r>
        <w:pict>
          <v:rect style="width:0;height:1.5pt" o:hralign="center" o:hrstd="t" o:hr="t"/>
        </w:pict>
      </w:r>
    </w:p>
    <w:bookmarkEnd w:id="10"/>
    <w:bookmarkStart w:id="15" w:name="ii.-hechos-relevantes"/>
    <w:p>
      <w:pPr>
        <w:pStyle w:val="Heading2"/>
      </w:pPr>
      <w:r>
        <w:t xml:space="preserve">II. HECHOS RELEVANTES</w:t>
      </w:r>
    </w:p>
    <w:bookmarkStart w:id="11" w:name="X4cc177767048b933343f00d455c032da00faf55"/>
    <w:p>
      <w:pPr>
        <w:pStyle w:val="Heading3"/>
      </w:pPr>
      <w:r>
        <w:t xml:space="preserve">A. La Asamblea del 9 de Marzo de 2026 fue Válida</w:t>
      </w:r>
    </w:p>
    <w:p>
      <w:pPr>
        <w:numPr>
          <w:ilvl w:val="0"/>
          <w:numId w:val="1002"/>
        </w:numPr>
      </w:pPr>
      <w:r>
        <w:rPr>
          <w:b/>
          <w:bCs/>
        </w:rPr>
        <w:t xml:space="preserve">Convocatoria debida:</w:t>
      </w:r>
      <w:r>
        <w:t xml:space="preserve"> </w:t>
      </w:r>
      <w:r>
        <w:t xml:space="preserve">Se envió el 19 de febrero de 2026, cumpliendo con los 7 días calendario requeridos por reglamento (fueron 18 días de anticipación).</w:t>
      </w:r>
    </w:p>
    <w:p>
      <w:pPr>
        <w:numPr>
          <w:ilvl w:val="0"/>
          <w:numId w:val="1002"/>
        </w:numPr>
      </w:pPr>
      <w:r>
        <w:rPr>
          <w:b/>
          <w:bCs/>
        </w:rPr>
        <w:t xml:space="preserve">Quórum del 100%:</w:t>
      </w:r>
      <w:r>
        <w:t xml:space="preserve"> </w:t>
      </w:r>
      <w:r>
        <w:t xml:space="preserve">Todas las 36 fincas filiales estuvieron presentes o representadas, incluyendo las de los actores.</w:t>
      </w:r>
    </w:p>
    <w:p>
      <w:pPr>
        <w:numPr>
          <w:ilvl w:val="0"/>
          <w:numId w:val="1002"/>
        </w:numPr>
      </w:pPr>
      <w:r>
        <w:rPr>
          <w:b/>
          <w:bCs/>
        </w:rPr>
        <w:t xml:space="preserve">Participación plena de los actores:</w:t>
      </w:r>
      <w:r>
        <w:t xml:space="preserve"> </w:t>
      </w:r>
      <w:r>
        <w:t xml:space="preserve">El Lic. Luis Guillermo Alfaro Vargas representó a las filiales 1 y 4 (actoras). El Lic. Roberto Castillo representó a las filiales 20 y 32 (actoras). Ambos participaron activamente en el debate.</w:t>
      </w:r>
    </w:p>
    <w:p>
      <w:pPr>
        <w:numPr>
          <w:ilvl w:val="0"/>
          <w:numId w:val="1002"/>
        </w:numPr>
      </w:pPr>
      <w:r>
        <w:rPr>
          <w:b/>
          <w:bCs/>
        </w:rPr>
        <w:t xml:space="preserve">Votación democrática:</w:t>
      </w:r>
      <w:r>
        <w:t xml:space="preserve"> </w:t>
      </w:r>
      <w:r>
        <w:t xml:space="preserve">Los acuerdos impugnados fueron aprobados con el 83.49% de los votos contra el 16.51% de los actores.</w:t>
      </w:r>
    </w:p>
    <w:bookmarkEnd w:id="11"/>
    <w:bookmarkStart w:id="12" w:name="Xcb046d0a444bc6fda14b53dc1469a7614089097"/>
    <w:p>
      <w:pPr>
        <w:pStyle w:val="Heading3"/>
      </w:pPr>
      <w:r>
        <w:t xml:space="preserve">B. Cumplimiento del Artículo 27 de la Ley Reguladora de la Propiedad en Condominio</w:t>
      </w:r>
    </w:p>
    <w:p>
      <w:pPr>
        <w:pStyle w:val="FirstParagraph"/>
      </w:pPr>
      <w:r>
        <w:t xml:space="preserve">Para las reformas al reglamento que afectan cuotas, el artículo 27 inciso b) párrafo 7 establece que se requiere:</w:t>
      </w:r>
      <w:r>
        <w:t xml:space="preserve"> </w:t>
      </w:r>
      <w:r>
        <w:t xml:space="preserve">- Mayoría de las filiales del desarrollador, Y</w:t>
      </w:r>
      <w:r>
        <w:t xml:space="preserve"> </w:t>
      </w:r>
      <w:r>
        <w:t xml:space="preserve">- Al menos 50% de las filiales que NO pertenecen al desarrollador</w:t>
      </w:r>
    </w:p>
    <w:p>
      <w:pPr>
        <w:pStyle w:val="BodyText"/>
      </w:pPr>
      <w:r>
        <w:rPr>
          <w:b/>
          <w:bCs/>
        </w:rPr>
        <w:t xml:space="preserve">Resultado de la votación:</w:t>
      </w:r>
      <w:r>
        <w:t xml:space="preserve"> </w:t>
      </w:r>
      <w:r>
        <w:t xml:space="preserve">- Filiales no pertenecientes al desarrollador: 1, 2, 4, 14, 20, 26, 28, 32 (33.60% del valor total)</w:t>
      </w:r>
      <w:r>
        <w:t xml:space="preserve"> </w:t>
      </w:r>
      <w:r>
        <w:t xml:space="preserve">- 50% de ese grupo = 16.8%</w:t>
      </w:r>
      <w:r>
        <w:t xml:space="preserve"> </w:t>
      </w:r>
      <w:r>
        <w:t xml:space="preserve">- Votos a favor de filiales no-desarrollador: 17.09%</w:t>
      </w:r>
      <w:r>
        <w:t xml:space="preserve"> </w:t>
      </w:r>
      <w:r>
        <w:t xml:space="preserve">-</w:t>
      </w:r>
      <w:r>
        <w:t xml:space="preserve"> </w:t>
      </w:r>
      <w:r>
        <w:rPr>
          <w:b/>
          <w:bCs/>
        </w:rPr>
        <w:t xml:space="preserve">SE CUMPLIÓ CON EL REQUISITO LEGAL</w:t>
      </w:r>
    </w:p>
    <w:bookmarkEnd w:id="12"/>
    <w:bookmarkStart w:id="13" w:name="X1870f123712b928e6d4198f52e965c6f1bbdde2"/>
    <w:p>
      <w:pPr>
        <w:pStyle w:val="Heading3"/>
      </w:pPr>
      <w:r>
        <w:t xml:space="preserve">C. Las Objeciones de los Actores Fueron Atendidas en la Asamblea</w:t>
      </w:r>
    </w:p>
    <w:p>
      <w:pPr>
        <w:pStyle w:val="FirstParagraph"/>
      </w:pPr>
      <w:r>
        <w:t xml:space="preserve">Durante la asamblea, los actores objetaron la redacción de los artículos 6.7 y 6.9 por supuestamente favorecer al desarrollador.</w:t>
      </w:r>
    </w:p>
    <w:p>
      <w:pPr>
        <w:pStyle w:val="BodyText"/>
      </w:pPr>
      <w:r>
        <w:rPr>
          <w:b/>
          <w:bCs/>
        </w:rPr>
        <w:t xml:space="preserve">La asamblea ACEPTÓ su objeción</w:t>
      </w:r>
      <w:r>
        <w:t xml:space="preserve"> </w:t>
      </w:r>
      <w:r>
        <w:t xml:space="preserve">y modificó la redacción en tiempo real, eliminando la frase</w:t>
      </w:r>
      <w:r>
        <w:t xml:space="preserve"> </w:t>
      </w:r>
      <w:r>
        <w:t xml:space="preserve">“que no sean del Desarrollador”</w:t>
      </w:r>
      <w:r>
        <w:t xml:space="preserve"> </w:t>
      </w:r>
      <w:r>
        <w:t xml:space="preserve">para que las reglas aplicaran por igual a todas las filiales según su estado de construcción, no según su propietario.</w:t>
      </w:r>
    </w:p>
    <w:p>
      <w:pPr>
        <w:pStyle w:val="BodyText"/>
      </w:pPr>
      <w:r>
        <w:t xml:space="preserve">Los actores votaron EN CONTRA incluso después de que su propia objeción fue incorporada.</w:t>
      </w:r>
    </w:p>
    <w:bookmarkEnd w:id="13"/>
    <w:bookmarkStart w:id="14" w:name="d.-los-actores-son-morosos-de-mala-fe"/>
    <w:p>
      <w:pPr>
        <w:pStyle w:val="Heading3"/>
      </w:pPr>
      <w:r>
        <w:t xml:space="preserve">D. Los Actores Son Morosos de Mala Fe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Filial</w:t>
            </w:r>
          </w:p>
        </w:tc>
        <w:tc>
          <w:tcPr/>
          <w:p>
            <w:pPr>
              <w:pStyle w:val="Compact"/>
            </w:pPr>
            <w:r>
              <w:t xml:space="preserve">Propietario</w:t>
            </w:r>
          </w:p>
        </w:tc>
        <w:tc>
          <w:tcPr/>
          <w:p>
            <w:pPr>
              <w:pStyle w:val="Compact"/>
            </w:pPr>
            <w:r>
              <w:t xml:space="preserve">Deuda Aproximada</w:t>
            </w:r>
          </w:p>
        </w:tc>
      </w:tr>
      <w:tr>
        <w:tc>
          <w:tcPr/>
          <w:p>
            <w:pPr>
              <w:pStyle w:val="Compact"/>
            </w:pPr>
            <w:r>
              <w:t xml:space="preserve">FF01</w:t>
            </w:r>
          </w:p>
        </w:tc>
        <w:tc>
          <w:tcPr/>
          <w:p>
            <w:pPr>
              <w:pStyle w:val="Compact"/>
            </w:pPr>
            <w:r>
              <w:t xml:space="preserve">Propiedades y Terrenos Terrazas del Arco Iris</w:t>
            </w:r>
          </w:p>
        </w:tc>
        <w:tc>
          <w:tcPr/>
          <w:p>
            <w:pPr>
              <w:pStyle w:val="Compact"/>
            </w:pPr>
            <w:r>
              <w:t xml:space="preserve">&gt;$6,000</w:t>
            </w:r>
          </w:p>
        </w:tc>
      </w:tr>
      <w:tr>
        <w:tc>
          <w:tcPr/>
          <w:p>
            <w:pPr>
              <w:pStyle w:val="Compact"/>
            </w:pPr>
            <w:r>
              <w:t xml:space="preserve">FF04</w:t>
            </w:r>
          </w:p>
        </w:tc>
        <w:tc>
          <w:tcPr/>
          <w:p>
            <w:pPr>
              <w:pStyle w:val="Compact"/>
            </w:pPr>
            <w:r>
              <w:t xml:space="preserve">Gratum Nosara SRL</w:t>
            </w:r>
          </w:p>
        </w:tc>
        <w:tc>
          <w:tcPr/>
          <w:p>
            <w:pPr>
              <w:pStyle w:val="Compact"/>
            </w:pPr>
            <w:r>
              <w:t xml:space="preserve">&gt;$6,000</w:t>
            </w:r>
          </w:p>
        </w:tc>
      </w:tr>
      <w:tr>
        <w:tc>
          <w:tcPr/>
          <w:p>
            <w:pPr>
              <w:pStyle w:val="Compact"/>
            </w:pPr>
            <w:r>
              <w:t xml:space="preserve">FF20</w:t>
            </w:r>
          </w:p>
        </w:tc>
        <w:tc>
          <w:tcPr/>
          <w:p>
            <w:pPr>
              <w:pStyle w:val="Compact"/>
            </w:pPr>
            <w:r>
              <w:t xml:space="preserve">Rancho Verde Riabov Ltda.</w:t>
            </w:r>
          </w:p>
        </w:tc>
        <w:tc>
          <w:tcPr/>
          <w:p>
            <w:pPr>
              <w:pStyle w:val="Compact"/>
            </w:pPr>
            <w:r>
              <w:t xml:space="preserve">&gt;$6,000</w:t>
            </w:r>
          </w:p>
        </w:tc>
      </w:tr>
      <w:tr>
        <w:tc>
          <w:tcPr/>
          <w:p>
            <w:pPr>
              <w:pStyle w:val="Compact"/>
            </w:pPr>
            <w:r>
              <w:t xml:space="preserve">FF32</w:t>
            </w:r>
          </w:p>
        </w:tc>
        <w:tc>
          <w:tcPr/>
          <w:p>
            <w:pPr>
              <w:pStyle w:val="Compact"/>
            </w:pPr>
            <w:r>
              <w:t xml:space="preserve">Rancho Azul Guzmán Ltda.</w:t>
            </w:r>
          </w:p>
        </w:tc>
        <w:tc>
          <w:tcPr/>
          <w:p>
            <w:pPr>
              <w:pStyle w:val="Compact"/>
            </w:pPr>
            <w:r>
              <w:t xml:space="preserve">&gt;$6,000</w:t>
            </w:r>
          </w:p>
        </w:tc>
      </w:tr>
    </w:tbl>
    <w:p>
      <w:pPr>
        <w:pStyle w:val="BodyText"/>
      </w:pPr>
      <w:r>
        <w:t xml:space="preserve">Los actores no han pagado cuotas de mantenimiento, agua ni electricidad desde hace más de un año. El señor Matthew Fitzmaurice (relacionado con FF32) comenzó su morosidad en julio de 2024 — casi dos años de impago.</w:t>
      </w:r>
    </w:p>
    <w:p>
      <w:r>
        <w:pict>
          <v:rect style="width:0;height:1.5pt" o:hralign="center" o:hrstd="t" o:hr="t"/>
        </w:pict>
      </w:r>
    </w:p>
    <w:bookmarkEnd w:id="14"/>
    <w:bookmarkEnd w:id="15"/>
    <w:bookmarkStart w:id="19" w:name="iii.-argumentos-jurídicos"/>
    <w:p>
      <w:pPr>
        <w:pStyle w:val="Heading2"/>
      </w:pPr>
      <w:r>
        <w:t xml:space="preserve">III. ARGUMENTOS JURÍDICOS</w:t>
      </w:r>
    </w:p>
    <w:bookmarkStart w:id="16" w:name="X2d637314376e0ca7659ddf2aba4262e5a531cb9"/>
    <w:p>
      <w:pPr>
        <w:pStyle w:val="Heading3"/>
      </w:pPr>
      <w:r>
        <w:t xml:space="preserve">A. No Existe Fumus Boni Iuris (Apariencia de Buen Derecho)</w:t>
      </w:r>
    </w:p>
    <w:p>
      <w:pPr>
        <w:pStyle w:val="FirstParagraph"/>
      </w:pPr>
      <w:r>
        <w:t xml:space="preserve">Los actores no tienen apariencia de buen derecho porque:</w:t>
      </w:r>
    </w:p>
    <w:p>
      <w:pPr>
        <w:numPr>
          <w:ilvl w:val="0"/>
          <w:numId w:val="1003"/>
        </w:numPr>
      </w:pPr>
      <w:r>
        <w:rPr>
          <w:b/>
          <w:bCs/>
        </w:rPr>
        <w:t xml:space="preserve">La asamblea cumplió todos los requisitos legales</w:t>
      </w:r>
      <w:r>
        <w:t xml:space="preserve"> </w:t>
      </w:r>
      <w:r>
        <w:t xml:space="preserve">— convocatoria, quórum, votación calificada según Art. 27.</w:t>
      </w:r>
    </w:p>
    <w:p>
      <w:pPr>
        <w:numPr>
          <w:ilvl w:val="0"/>
          <w:numId w:val="1003"/>
        </w:numPr>
      </w:pPr>
      <w:r>
        <w:rPr>
          <w:b/>
          <w:bCs/>
        </w:rPr>
        <w:t xml:space="preserve">Participaron y perdieron</w:t>
      </w:r>
      <w:r>
        <w:t xml:space="preserve"> </w:t>
      </w:r>
      <w:r>
        <w:t xml:space="preserve">— No pueden ahora impugnar un proceso en el que participaron plenamente y en el que sus objeciones fueron atendidas.</w:t>
      </w:r>
    </w:p>
    <w:p>
      <w:pPr>
        <w:numPr>
          <w:ilvl w:val="0"/>
          <w:numId w:val="1003"/>
        </w:numPr>
      </w:pPr>
      <w:r>
        <w:rPr>
          <w:b/>
          <w:bCs/>
        </w:rPr>
        <w:t xml:space="preserve">Doctrina de los actos propios</w:t>
      </w:r>
      <w:r>
        <w:t xml:space="preserve"> </w:t>
      </w:r>
      <w:r>
        <w:t xml:space="preserve">— Habiendo participado en la asamblea, hacer propuestas, obtener modificaciones a su favor, y votar, no pueden ahora desconocer la validez del proceso.</w:t>
      </w:r>
    </w:p>
    <w:bookmarkEnd w:id="16"/>
    <w:bookmarkStart w:id="17" w:name="X7926160571d978bd75c678b00aa8c6c39861f81"/>
    <w:p>
      <w:pPr>
        <w:pStyle w:val="Heading3"/>
      </w:pPr>
      <w:r>
        <w:t xml:space="preserve">B. No Existe Periculum in Mora (Peligro en la Demora)</w:t>
      </w:r>
    </w:p>
    <w:p>
      <w:pPr>
        <w:pStyle w:val="FirstParagraph"/>
      </w:pPr>
      <w:r>
        <w:t xml:space="preserve">Los actores alegan</w:t>
      </w:r>
      <w:r>
        <w:t xml:space="preserve"> </w:t>
      </w:r>
      <w:r>
        <w:t xml:space="preserve">“urgencia”</w:t>
      </w:r>
      <w:r>
        <w:t xml:space="preserve"> </w:t>
      </w:r>
      <w:r>
        <w:t xml:space="preserve">por posibles cobros hipotecarios. Sin embargo:</w:t>
      </w:r>
    </w:p>
    <w:p>
      <w:pPr>
        <w:numPr>
          <w:ilvl w:val="0"/>
          <w:numId w:val="1004"/>
        </w:numPr>
      </w:pPr>
      <w:r>
        <w:rPr>
          <w:b/>
          <w:bCs/>
        </w:rPr>
        <w:t xml:space="preserve">El daño es auto-infligido</w:t>
      </w:r>
      <w:r>
        <w:t xml:space="preserve"> </w:t>
      </w:r>
      <w:r>
        <w:t xml:space="preserve">— Ellos mismos han decidido no pagar durante más de un año.</w:t>
      </w:r>
    </w:p>
    <w:p>
      <w:pPr>
        <w:numPr>
          <w:ilvl w:val="0"/>
          <w:numId w:val="1004"/>
        </w:numPr>
      </w:pPr>
      <w:r>
        <w:rPr>
          <w:b/>
          <w:bCs/>
        </w:rPr>
        <w:t xml:space="preserve">No hay cobro inminente</w:t>
      </w:r>
      <w:r>
        <w:t xml:space="preserve"> </w:t>
      </w:r>
      <w:r>
        <w:t xml:space="preserve">— No se ha iniciado ningún proceso de ejecución hipotecaria.</w:t>
      </w:r>
    </w:p>
    <w:p>
      <w:pPr>
        <w:numPr>
          <w:ilvl w:val="0"/>
          <w:numId w:val="1004"/>
        </w:numPr>
      </w:pPr>
      <w:r>
        <w:rPr>
          <w:b/>
          <w:bCs/>
        </w:rPr>
        <w:t xml:space="preserve">La urgencia es fabricada</w:t>
      </w:r>
      <w:r>
        <w:t xml:space="preserve"> </w:t>
      </w:r>
      <w:r>
        <w:t xml:space="preserve">— Si realmente les preocupara el cobro, habrían pagado sus cuotas o al menos una parte.</w:t>
      </w:r>
    </w:p>
    <w:p>
      <w:pPr>
        <w:numPr>
          <w:ilvl w:val="0"/>
          <w:numId w:val="1004"/>
        </w:numPr>
      </w:pPr>
      <w:r>
        <w:rPr>
          <w:b/>
          <w:bCs/>
        </w:rPr>
        <w:t xml:space="preserve">El Tribunal ya rechazó la urgencia</w:t>
      </w:r>
      <w:r>
        <w:t xml:space="preserve"> </w:t>
      </w:r>
      <w:r>
        <w:t xml:space="preserve">— En resolución del 6 de mayo de 2026, el Tribunal determinó que</w:t>
      </w:r>
      <w:r>
        <w:t xml:space="preserve"> </w:t>
      </w:r>
      <w:r>
        <w:t xml:space="preserve">“no se demostró razones de urgencia”</w:t>
      </w:r>
      <w:r>
        <w:t xml:space="preserve"> </w:t>
      </w:r>
      <w:r>
        <w:t xml:space="preserve">para omitir la audiencia.</w:t>
      </w:r>
    </w:p>
    <w:bookmarkEnd w:id="17"/>
    <w:bookmarkStart w:id="18" w:name="X3250e6e4a2f95195bb07db51ef52ec8cd7e3e91"/>
    <w:p>
      <w:pPr>
        <w:pStyle w:val="Heading3"/>
      </w:pPr>
      <w:r>
        <w:t xml:space="preserve">C. El Verdadero Propósito es Evitar Pagar</w:t>
      </w:r>
    </w:p>
    <w:p>
      <w:pPr>
        <w:pStyle w:val="FirstParagraph"/>
      </w:pPr>
      <w:r>
        <w:t xml:space="preserve">Los actores buscan:</w:t>
      </w:r>
      <w:r>
        <w:t xml:space="preserve"> </w:t>
      </w:r>
      <w:r>
        <w:t xml:space="preserve">1. Suspender los acuerdos que permiten cobrar cuotas diferenciadas</w:t>
      </w:r>
      <w:r>
        <w:t xml:space="preserve"> </w:t>
      </w:r>
      <w:r>
        <w:t xml:space="preserve">2. Evitar que se les corten los servicios por impago</w:t>
      </w:r>
      <w:r>
        <w:t xml:space="preserve"> </w:t>
      </w:r>
      <w:r>
        <w:t xml:space="preserve">3. Continuar disfrutando de los servicios del condominio sin pagar</w:t>
      </w:r>
    </w:p>
    <w:p>
      <w:pPr>
        <w:pStyle w:val="BodyText"/>
      </w:pPr>
      <w:r>
        <w:t xml:space="preserve">Esto constituye un abuso del proceso judicial.</w:t>
      </w:r>
    </w:p>
    <w:p>
      <w:r>
        <w:pict>
          <v:rect style="width:0;height:1.5pt" o:hralign="center" o:hrstd="t" o:hr="t"/>
        </w:pict>
      </w:r>
    </w:p>
    <w:bookmarkEnd w:id="18"/>
    <w:bookmarkEnd w:id="19"/>
    <w:bookmarkStart w:id="20" w:name="iv.-patrón-de-conducta-de-los-actores"/>
    <w:p>
      <w:pPr>
        <w:pStyle w:val="Heading2"/>
      </w:pPr>
      <w:r>
        <w:t xml:space="preserve">IV. PATRÓN DE CONDUCTA DE LOS ACTORES</w:t>
      </w:r>
    </w:p>
    <w:p>
      <w:pPr>
        <w:pStyle w:val="FirstParagraph"/>
      </w:pPr>
      <w:r>
        <w:t xml:space="preserve">Los actores y sus relacionados han demostrado un patrón de mala fe:</w:t>
      </w:r>
    </w:p>
    <w:p>
      <w:pPr>
        <w:numPr>
          <w:ilvl w:val="0"/>
          <w:numId w:val="1005"/>
        </w:numPr>
      </w:pPr>
      <w:r>
        <w:rPr>
          <w:b/>
          <w:bCs/>
        </w:rPr>
        <w:t xml:space="preserve">Cuatro denuncias penales falsas</w:t>
      </w:r>
      <w:r>
        <w:t xml:space="preserve"> </w:t>
      </w:r>
      <w:r>
        <w:t xml:space="preserve">(2025):</w:t>
      </w:r>
    </w:p>
    <w:p>
      <w:pPr>
        <w:pStyle w:val="Compact"/>
        <w:numPr>
          <w:ilvl w:val="1"/>
          <w:numId w:val="1006"/>
        </w:numPr>
      </w:pPr>
      <w:r>
        <w:t xml:space="preserve">Denuncia por usurpación — EN PROCESO DE ARCHIVO</w:t>
      </w:r>
    </w:p>
    <w:p>
      <w:pPr>
        <w:pStyle w:val="Compact"/>
        <w:numPr>
          <w:ilvl w:val="1"/>
          <w:numId w:val="1006"/>
        </w:numPr>
      </w:pPr>
      <w:r>
        <w:t xml:space="preserve">3 denuncias por infracción a la Ley Forestal — EN PROCESO DE ARCHIVO</w:t>
      </w:r>
    </w:p>
    <w:p>
      <w:pPr>
        <w:numPr>
          <w:ilvl w:val="0"/>
          <w:numId w:val="1005"/>
        </w:numPr>
      </w:pPr>
      <w:r>
        <w:rPr>
          <w:b/>
          <w:bCs/>
        </w:rPr>
        <w:t xml:space="preserve">Violaciones al reglamento:</w:t>
      </w:r>
    </w:p>
    <w:p>
      <w:pPr>
        <w:pStyle w:val="Compact"/>
        <w:numPr>
          <w:ilvl w:val="1"/>
          <w:numId w:val="1007"/>
        </w:numPr>
      </w:pPr>
      <w:r>
        <w:t xml:space="preserve">Ingreso forzado al condominio burlando controles de seguridad (agosto 2025)</w:t>
      </w:r>
    </w:p>
    <w:p>
      <w:pPr>
        <w:pStyle w:val="Compact"/>
        <w:numPr>
          <w:ilvl w:val="1"/>
          <w:numId w:val="1007"/>
        </w:numPr>
      </w:pPr>
      <w:r>
        <w:t xml:space="preserve">Instalación de cámaras no autorizadas</w:t>
      </w:r>
    </w:p>
    <w:p>
      <w:pPr>
        <w:numPr>
          <w:ilvl w:val="0"/>
          <w:numId w:val="1005"/>
        </w:numPr>
      </w:pPr>
      <w:r>
        <w:rPr>
          <w:b/>
          <w:bCs/>
        </w:rPr>
        <w:t xml:space="preserve">Impago sistemático:</w:t>
      </w:r>
      <w:r>
        <w:t xml:space="preserve"> </w:t>
      </w:r>
      <w:r>
        <w:t xml:space="preserve">Más de $24,000 en deudas combinadas entre las cuatro filiales actoras.</w:t>
      </w:r>
    </w:p>
    <w:p>
      <w:pPr>
        <w:numPr>
          <w:ilvl w:val="0"/>
          <w:numId w:val="1005"/>
        </w:numPr>
      </w:pPr>
      <w:r>
        <w:rPr>
          <w:b/>
          <w:bCs/>
        </w:rPr>
        <w:t xml:space="preserve">Amenazas a terceros:</w:t>
      </w:r>
      <w:r>
        <w:t xml:space="preserve"> </w:t>
      </w:r>
      <w:r>
        <w:t xml:space="preserve">SFERA Legal (representantes de los actores) amenazó por error a la arquitecta Milagro Castro, confundiéndola con otra persona.</w:t>
      </w:r>
    </w:p>
    <w:p>
      <w:r>
        <w:pict>
          <v:rect style="width:0;height:1.5pt" o:hralign="center" o:hrstd="t" o:hr="t"/>
        </w:pict>
      </w:r>
    </w:p>
    <w:bookmarkEnd w:id="20"/>
    <w:bookmarkStart w:id="21" w:name="v.-petitoria"/>
    <w:p>
      <w:pPr>
        <w:pStyle w:val="Heading2"/>
      </w:pPr>
      <w:r>
        <w:t xml:space="preserve">V. PETITORIA</w:t>
      </w:r>
    </w:p>
    <w:p>
      <w:pPr>
        <w:pStyle w:val="FirstParagraph"/>
      </w:pPr>
      <w:r>
        <w:t xml:space="preserve">Con base en lo expuesto, respetuosamente se solicita:</w:t>
      </w:r>
    </w:p>
    <w:p>
      <w:pPr>
        <w:numPr>
          <w:ilvl w:val="0"/>
          <w:numId w:val="1008"/>
        </w:numPr>
      </w:pPr>
      <w:r>
        <w:rPr>
          <w:b/>
          <w:bCs/>
        </w:rPr>
        <w:t xml:space="preserve">RECHAZAR</w:t>
      </w:r>
      <w:r>
        <w:t xml:space="preserve"> </w:t>
      </w:r>
      <w:r>
        <w:t xml:space="preserve">la medida cautelar de suspensión provisional de acuerdos.</w:t>
      </w:r>
    </w:p>
    <w:p>
      <w:pPr>
        <w:numPr>
          <w:ilvl w:val="0"/>
          <w:numId w:val="1008"/>
        </w:numPr>
      </w:pPr>
      <w:r>
        <w:rPr>
          <w:b/>
          <w:bCs/>
        </w:rPr>
        <w:t xml:space="preserve">DECLARAR</w:t>
      </w:r>
      <w:r>
        <w:t xml:space="preserve"> </w:t>
      </w:r>
      <w:r>
        <w:t xml:space="preserve">la validez de los acuerdos tomados en la Asamblea General Ordinaria del 9 de marzo de 2026.</w:t>
      </w:r>
    </w:p>
    <w:p>
      <w:pPr>
        <w:numPr>
          <w:ilvl w:val="0"/>
          <w:numId w:val="1008"/>
        </w:numPr>
      </w:pPr>
      <w:r>
        <w:rPr>
          <w:b/>
          <w:bCs/>
        </w:rPr>
        <w:t xml:space="preserve">CONDENAR</w:t>
      </w:r>
      <w:r>
        <w:t xml:space="preserve"> </w:t>
      </w:r>
      <w:r>
        <w:t xml:space="preserve">en costas a los actores por su actuación temeraria.</w:t>
      </w:r>
    </w:p>
    <w:p>
      <w:r>
        <w:pict>
          <v:rect style="width:0;height:1.5pt" o:hralign="center" o:hrstd="t" o:hr="t"/>
        </w:pict>
      </w:r>
    </w:p>
    <w:bookmarkEnd w:id="21"/>
    <w:bookmarkStart w:id="22" w:name="vi.-prueba-ofrecida"/>
    <w:p>
      <w:pPr>
        <w:pStyle w:val="Heading2"/>
      </w:pPr>
      <w:r>
        <w:t xml:space="preserve">VI. PRUEBA OFRECIDA</w:t>
      </w:r>
    </w:p>
    <w:p>
      <w:pPr>
        <w:pStyle w:val="Compact"/>
        <w:numPr>
          <w:ilvl w:val="0"/>
          <w:numId w:val="1009"/>
        </w:numPr>
      </w:pPr>
      <w:r>
        <w:t xml:space="preserve">Acta de Asamblea General Ordinaria del 9 de marzo de 2026 (protocolizada)</w:t>
      </w:r>
    </w:p>
    <w:p>
      <w:pPr>
        <w:pStyle w:val="Compact"/>
        <w:numPr>
          <w:ilvl w:val="0"/>
          <w:numId w:val="1009"/>
        </w:numPr>
      </w:pPr>
      <w:r>
        <w:t xml:space="preserve">Convocatoria del 19 de febrero de 2026</w:t>
      </w:r>
    </w:p>
    <w:p>
      <w:pPr>
        <w:pStyle w:val="Compact"/>
        <w:numPr>
          <w:ilvl w:val="0"/>
          <w:numId w:val="1009"/>
        </w:numPr>
      </w:pPr>
      <w:r>
        <w:t xml:space="preserve">Estados de cuenta de morosidad de las filiales 01, 04, 20 y 32</w:t>
      </w:r>
    </w:p>
    <w:p>
      <w:pPr>
        <w:pStyle w:val="Compact"/>
        <w:numPr>
          <w:ilvl w:val="0"/>
          <w:numId w:val="1009"/>
        </w:numPr>
      </w:pPr>
      <w:r>
        <w:t xml:space="preserve">Grabación de la asamblea virtual (Microsoft Teams)</w:t>
      </w:r>
    </w:p>
    <w:p>
      <w:pPr>
        <w:pStyle w:val="Compact"/>
        <w:numPr>
          <w:ilvl w:val="0"/>
          <w:numId w:val="1009"/>
        </w:numPr>
      </w:pPr>
      <w:r>
        <w:t xml:space="preserve">Historial de denuncias penales archivadas</w:t>
      </w:r>
    </w:p>
    <w:p>
      <w:pPr>
        <w:pStyle w:val="Compact"/>
        <w:numPr>
          <w:ilvl w:val="0"/>
          <w:numId w:val="1009"/>
        </w:numPr>
      </w:pPr>
      <w:r>
        <w:t xml:space="preserve">Correspondencia de SFERA Legal con amenazas a terceros</w:t>
      </w:r>
    </w:p>
    <w:p>
      <w:r>
        <w:pict>
          <v:rect style="width:0;height:1.5pt" o:hralign="center" o:hrstd="t" o:hr="t"/>
        </w:pict>
      </w:r>
    </w:p>
    <w:p>
      <w:pPr>
        <w:pStyle w:val="FirstParagraph"/>
      </w:pPr>
      <w:r>
        <w:rPr>
          <w:b/>
          <w:bCs/>
        </w:rPr>
        <w:t xml:space="preserve">Nosara, Guanacaste, [FECHA]</w:t>
      </w:r>
    </w:p>
    <w:p>
      <w:r>
        <w:pict>
          <v:rect style="width:0;height:1.5pt" o:hralign="center" o:hrstd="t" o:hr="t"/>
        </w:pict>
      </w:r>
    </w:p>
    <w:p>
      <w:pPr>
        <w:pStyle w:val="FirstParagraph"/>
      </w:pPr>
      <w:r>
        <w:rPr>
          <w:b/>
          <w:bCs/>
        </w:rPr>
        <w:t xml:space="preserve">Por Admin Mar Azul Nosara S.R.L.</w:t>
      </w:r>
      <w:r>
        <w:t xml:space="preserve"> </w:t>
      </w:r>
      <w:r>
        <w:t xml:space="preserve">Administrador del Condominio Mar Azul</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2026-05-21T18:06:08Z</dcterms:created>
  <dcterms:modified xsi:type="dcterms:W3CDTF">2026-05-21T18:06:08Z</dcterms:modified>
</cp:coreProperties>
</file>

<file path=docProps/custom.xml><?xml version="1.0" encoding="utf-8"?>
<Properties xmlns="http://schemas.openxmlformats.org/officeDocument/2006/custom-properties" xmlns:vt="http://schemas.openxmlformats.org/officeDocument/2006/docPropsVTypes"/>
</file>