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cf33076c239d66cc21669a559e79578afcb4ec3"/>
    <w:p>
      <w:pPr>
        <w:pStyle w:val="Heading1"/>
      </w:pPr>
      <w:r>
        <w:t xml:space="preserve">ANÁLISIS COMPLETO: CASO SFERA vs. CONDOMINIO MAR AZUL</w:t>
      </w:r>
    </w:p>
    <w:p>
      <w:pPr>
        <w:pStyle w:val="FirstParagraph"/>
      </w:pPr>
      <w:r>
        <w:rPr>
          <w:b/>
          <w:bCs/>
        </w:rPr>
        <w:t xml:space="preserve">Expediente:</w:t>
      </w:r>
      <w:r>
        <w:t xml:space="preserve"> </w:t>
      </w:r>
      <w:r>
        <w:t xml:space="preserve">26-000076-1632-CI</w:t>
      </w:r>
      <w:r>
        <w:br/>
      </w:r>
      <w:r>
        <w:rPr>
          <w:b/>
          <w:bCs/>
        </w:rPr>
        <w:t xml:space="preserve">Preparado para:</w:t>
      </w:r>
      <w:r>
        <w:t xml:space="preserve"> </w:t>
      </w:r>
      <w:r>
        <w:t xml:space="preserve">Equipo Legal</w:t>
      </w:r>
      <w:r>
        <w:br/>
      </w:r>
      <w:r>
        <w:rPr>
          <w:b/>
          <w:bCs/>
        </w:rPr>
        <w:t xml:space="preserve">Fecha:</w:t>
      </w:r>
      <w:r>
        <w:t xml:space="preserve"> </w:t>
      </w:r>
      <w:r>
        <w:t xml:space="preserve">22 de mayo de 2026</w:t>
      </w:r>
    </w:p>
    <w:p>
      <w:r>
        <w:pict>
          <v:rect style="width:0;height:1.5pt" o:hralign="center" o:hrstd="t" o:hr="t"/>
        </w:pict>
      </w:r>
    </w:p>
    <w:bookmarkEnd w:id="9"/>
    <w:bookmarkStart w:id="26" w:name="parte-i-qué-alega-sfera"/>
    <w:p>
      <w:pPr>
        <w:pStyle w:val="Heading1"/>
      </w:pPr>
      <w:r>
        <w:t xml:space="preserve">PARTE I: ¿QUÉ ALEGA SFERA?</w:t>
      </w:r>
    </w:p>
    <w:bookmarkStart w:id="10" w:name="la-demanda-de-sfera-4-de-mayo-2026"/>
    <w:p>
      <w:pPr>
        <w:pStyle w:val="Heading2"/>
      </w:pPr>
      <w:r>
        <w:t xml:space="preserve">La Demanda de SFERA (4 de mayo 2026)</w:t>
      </w:r>
    </w:p>
    <w:p>
      <w:pPr>
        <w:pStyle w:val="FirstParagraph"/>
      </w:pPr>
      <w:r>
        <w:t xml:space="preserve">SFERA Legal, representando a 4 sociedades (Gratum Nosara, Rancho Verde Riabov, Rancho Azul Guzmán, y Propiedades Terrazas del Arco Iris), solicita:</w:t>
      </w:r>
    </w:p>
    <w:p>
      <w:pPr>
        <w:pStyle w:val="BlockText"/>
      </w:pPr>
      <w:r>
        <w:rPr>
          <w:b/>
          <w:bCs/>
        </w:rPr>
        <w:t xml:space="preserve">MEDIDA CAUTELAR:</w:t>
      </w:r>
      <w:r>
        <w:t xml:space="preserve"> </w:t>
      </w:r>
      <w:r>
        <w:t xml:space="preserve">Suspensión provisional de los acuerdos tomados en la Asamblea General Ordinaria del Condominio Mar Azul celebrada el 9 de marzo de 2026.</w:t>
      </w:r>
    </w:p>
    <w:p>
      <w:r>
        <w:pict>
          <v:rect style="width:0;height:1.5pt" o:hralign="center" o:hrstd="t" o:hr="t"/>
        </w:pict>
      </w:r>
    </w:p>
    <w:bookmarkEnd w:id="10"/>
    <w:bookmarkStart w:id="14" w:name="X183150d39001558d6e64aca8ff5365b216bc559"/>
    <w:p>
      <w:pPr>
        <w:pStyle w:val="Heading2"/>
      </w:pPr>
      <w:r>
        <w:t xml:space="preserve">Argumento #1 de SFERA:</w:t>
      </w:r>
      <w:r>
        <w:t xml:space="preserve"> </w:t>
      </w:r>
      <w:r>
        <w:t xml:space="preserve">“Violación del Artículo 27”</w:t>
      </w:r>
    </w:p>
    <w:bookmarkStart w:id="11" w:name="lo-que-alegan"/>
    <w:p>
      <w:pPr>
        <w:pStyle w:val="Heading3"/>
      </w:pPr>
      <w:r>
        <w:t xml:space="preserve">Lo que alegan:</w:t>
      </w:r>
    </w:p>
    <w:p>
      <w:pPr>
        <w:pStyle w:val="BlockText"/>
      </w:pPr>
      <w:r>
        <w:t xml:space="preserve">“La asamblea no cumplió con el requisito del Artículo 27, inciso b), párrafo 7 de la Ley Reguladora de la Propiedad en Condominio, que requiere para reformas al reglamento el voto favorable de al menos el 50% de las filiales que NO pertenecen al desarrollador.”</w:t>
      </w:r>
    </w:p>
    <w:bookmarkEnd w:id="11"/>
    <w:bookmarkStart w:id="12" w:name="la-realidad-de-su-propia-prueba"/>
    <w:p>
      <w:pPr>
        <w:pStyle w:val="Heading3"/>
      </w:pPr>
      <w:r>
        <w:t xml:space="preserve">La realidad (de su propia prueba):</w:t>
      </w:r>
    </w:p>
    <w:p>
      <w:pPr>
        <w:pStyle w:val="FirstParagraph"/>
      </w:pPr>
      <w:r>
        <w:t xml:space="preserve">El Acta de Asamblea (Prueba 9 de SFERA) registra textualmente:</w:t>
      </w:r>
    </w:p>
    <w:p>
      <w:pPr>
        <w:pStyle w:val="BlockText"/>
      </w:pPr>
      <w:r>
        <w:t xml:space="preserve">“Para efectos del artículo 27, inciso b) 7. párrafo final de la Ley Reguladora de la Propiedad en Condominio se indica que las filiales no pertenecientes al desarrollador son las siguientes: 1, 2, 4, 14, 20, 26, 28 y 32, las que en total suman un</w:t>
      </w:r>
      <w:r>
        <w:t xml:space="preserve"> </w:t>
      </w:r>
      <w:r>
        <w:rPr>
          <w:b/>
          <w:bCs/>
        </w:rPr>
        <w:t xml:space="preserve">33.60%</w:t>
      </w:r>
      <w:r>
        <w:t xml:space="preserve"> </w:t>
      </w:r>
      <w:r>
        <w:t xml:space="preserve">del valor total del condominio, siendo en consecuencia su mitad un</w:t>
      </w:r>
      <w:r>
        <w:t xml:space="preserve"> </w:t>
      </w:r>
      <w:r>
        <w:rPr>
          <w:b/>
          <w:bCs/>
        </w:rPr>
        <w:t xml:space="preserve">16.8%</w:t>
      </w:r>
      <w:r>
        <w:t xml:space="preserve"> </w:t>
      </w:r>
      <w:r>
        <w:t xml:space="preserve">de ese valor. Este acuerdo contó con el voto favorable de todas las filiales del desarrollador que suman un 75.45% del valor del condominio,</w:t>
      </w:r>
      <w:r>
        <w:t xml:space="preserve"> </w:t>
      </w:r>
      <w:r>
        <w:rPr>
          <w:b/>
          <w:bCs/>
        </w:rPr>
        <w:t xml:space="preserve">más 17.09% de votos a favor de las filiales no pertenecientes al desarrollador</w:t>
      </w:r>
      <w:r>
        <w:t xml:space="preserve">, que es un porcentaje superior al cincuenta por ciento de esas filiales.”</w:t>
      </w:r>
    </w:p>
    <w:p>
      <w:pPr>
        <w:pStyle w:val="FirstParagraph"/>
      </w:pPr>
      <w:r>
        <w:rPr>
          <w:b/>
          <w:bCs/>
        </w:rPr>
        <w:t xml:space="preserve">Cálculo matemático: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Concepto</w:t>
            </w:r>
          </w:p>
        </w:tc>
        <w:tc>
          <w:tcPr/>
          <w:p>
            <w:pPr>
              <w:pStyle w:val="Compact"/>
            </w:pPr>
            <w:r>
              <w:t xml:space="preserve">Porcentaje</w:t>
            </w:r>
          </w:p>
        </w:tc>
      </w:tr>
      <w:tr>
        <w:tc>
          <w:tcPr/>
          <w:p>
            <w:pPr>
              <w:pStyle w:val="Compact"/>
            </w:pPr>
            <w:r>
              <w:t xml:space="preserve">Total filiales no-desarrollador</w:t>
            </w:r>
          </w:p>
        </w:tc>
        <w:tc>
          <w:tcPr/>
          <w:p>
            <w:pPr>
              <w:pStyle w:val="Compact"/>
            </w:pPr>
            <w:r>
              <w:t xml:space="preserve">33.60%</w:t>
            </w:r>
          </w:p>
        </w:tc>
      </w:tr>
      <w:tr>
        <w:tc>
          <w:tcPr/>
          <w:p>
            <w:pPr>
              <w:pStyle w:val="Compact"/>
            </w:pPr>
            <w:r>
              <w:t xml:space="preserve">50% requerido de ese grupo</w:t>
            </w:r>
          </w:p>
        </w:tc>
        <w:tc>
          <w:tcPr/>
          <w:p>
            <w:pPr>
              <w:pStyle w:val="Compact"/>
            </w:pPr>
            <w:r>
              <w:rPr>
                <w:b/>
                <w:bCs/>
              </w:rPr>
              <w:t xml:space="preserve">16.80%</w:t>
            </w:r>
          </w:p>
        </w:tc>
      </w:tr>
      <w:tr>
        <w:tc>
          <w:tcPr/>
          <w:p>
            <w:pPr>
              <w:pStyle w:val="Compact"/>
            </w:pPr>
            <w:r>
              <w:t xml:space="preserve">Votos a favor de no-desarrollador</w:t>
            </w:r>
          </w:p>
        </w:tc>
        <w:tc>
          <w:tcPr/>
          <w:p>
            <w:pPr>
              <w:pStyle w:val="Compact"/>
            </w:pPr>
            <w:r>
              <w:rPr>
                <w:b/>
                <w:bCs/>
              </w:rPr>
              <w:t xml:space="preserve">17.09%</w:t>
            </w:r>
          </w:p>
        </w:tc>
      </w:tr>
    </w:tbl>
    <w:p>
      <w:pPr>
        <w:pStyle w:val="BodyText"/>
      </w:pPr>
      <w:r>
        <w:rPr>
          <w:b/>
          <w:bCs/>
        </w:rPr>
        <w:t xml:space="preserve">17.09% &gt; 16.80%</w:t>
      </w:r>
      <w:r>
        <w:t xml:space="preserve"> </w:t>
      </w:r>
      <w:r>
        <w:t xml:space="preserve">→</w:t>
      </w:r>
      <w:r>
        <w:t xml:space="preserve"> </w:t>
      </w:r>
      <w:r>
        <w:rPr>
          <w:b/>
          <w:bCs/>
        </w:rPr>
        <w:t xml:space="preserve">EL REQUISITO LEGAL SE CUMPLIÓ</w:t>
      </w:r>
    </w:p>
    <w:bookmarkEnd w:id="12"/>
    <w:bookmarkStart w:id="13" w:name="conclusión"/>
    <w:p>
      <w:pPr>
        <w:pStyle w:val="Heading3"/>
      </w:pPr>
      <w:r>
        <w:t xml:space="preserve">Conclusión:</w:t>
      </w:r>
    </w:p>
    <w:p>
      <w:pPr>
        <w:pStyle w:val="FirstParagraph"/>
      </w:pPr>
      <w:r>
        <w:t xml:space="preserve">SFERA aporta como prueba el Acta de Asamblea que</w:t>
      </w:r>
      <w:r>
        <w:t xml:space="preserve"> </w:t>
      </w:r>
      <w:r>
        <w:rPr>
          <w:b/>
          <w:bCs/>
        </w:rPr>
        <w:t xml:space="preserve">demuestra matemáticamente que el Artículo 27 SÍ se cumplió</w:t>
      </w:r>
      <w:r>
        <w:t xml:space="preserve">. Su propio documento destruye su argumento principal.</w:t>
      </w:r>
    </w:p>
    <w:p>
      <w:r>
        <w:pict>
          <v:rect style="width:0;height:1.5pt" o:hralign="center" o:hrstd="t" o:hr="t"/>
        </w:pict>
      </w:r>
    </w:p>
    <w:bookmarkEnd w:id="13"/>
    <w:bookmarkEnd w:id="14"/>
    <w:bookmarkStart w:id="18" w:name="X36512b0eb43d1d51d1e852c817ea76f78eeecdd"/>
    <w:p>
      <w:pPr>
        <w:pStyle w:val="Heading2"/>
      </w:pPr>
      <w:r>
        <w:t xml:space="preserve">Argumento #2 de SFERA:</w:t>
      </w:r>
      <w:r>
        <w:t xml:space="preserve"> </w:t>
      </w:r>
      <w:r>
        <w:t xml:space="preserve">“Urgencia por Cobro Hipotecario”</w:t>
      </w:r>
    </w:p>
    <w:bookmarkStart w:id="15" w:name="lo-que-alegan-1"/>
    <w:p>
      <w:pPr>
        <w:pStyle w:val="Heading3"/>
      </w:pPr>
      <w:r>
        <w:t xml:space="preserve">Lo que alegan:</w:t>
      </w:r>
    </w:p>
    <w:p>
      <w:pPr>
        <w:pStyle w:val="BlockText"/>
      </w:pPr>
      <w:r>
        <w:t xml:space="preserve">“Existe urgencia porque el Artículo 20 de la Ley de Propiedad en Condominio permite que las cuotas impagas constituyan un gravamen hipotecario sobre nuestras fincas filiales. Si no se suspenden los acuerdos, podrían ejecutar hipotecas contra nosotros.”</w:t>
      </w:r>
    </w:p>
    <w:bookmarkEnd w:id="15"/>
    <w:bookmarkStart w:id="16" w:name="X41846f5cffa998f7717a38b5f6c2ec44d50b1b6"/>
    <w:p>
      <w:pPr>
        <w:pStyle w:val="Heading3"/>
      </w:pPr>
      <w:r>
        <w:t xml:space="preserve">Lo que el Tribunal respondió (6 de mayo 2026):</w:t>
      </w:r>
    </w:p>
    <w:p>
      <w:pPr>
        <w:pStyle w:val="BlockText"/>
      </w:pPr>
      <w:r>
        <w:t xml:space="preserve">“…la parte gestionante sobre ello fundamenta su petición en la supuesta urgencia del cobro hipotecario; sin embargo,</w:t>
      </w:r>
      <w:r>
        <w:t xml:space="preserve"> </w:t>
      </w:r>
      <w:r>
        <w:rPr>
          <w:b/>
          <w:bCs/>
        </w:rPr>
        <w:t xml:space="preserve">tal alegación se formula de manera genérica, sin que se expongan ni acrediten circunstancias concretas</w:t>
      </w:r>
      <w:r>
        <w:t xml:space="preserve"> </w:t>
      </w:r>
      <w:r>
        <w:t xml:space="preserve">que permitan tener por configurado un riesgo real, actual e inminente que justifique la adopción de la medida sin oír previamente a la contraparte.”</w:t>
      </w:r>
    </w:p>
    <w:p>
      <w:pPr>
        <w:pStyle w:val="FirstParagraph"/>
      </w:pPr>
      <w:r>
        <w:rPr>
          <w:b/>
          <w:bCs/>
        </w:rPr>
        <w:t xml:space="preserve">El juez rechazó la urgencia</w:t>
      </w:r>
      <w:r>
        <w:t xml:space="preserve"> </w:t>
      </w:r>
      <w:r>
        <w:t xml:space="preserve">y ordenó audiencia de 3 días.</w:t>
      </w:r>
    </w:p>
    <w:bookmarkEnd w:id="16"/>
    <w:bookmarkStart w:id="17" w:name="la-realidad"/>
    <w:p>
      <w:pPr>
        <w:pStyle w:val="Heading3"/>
      </w:pPr>
      <w:r>
        <w:t xml:space="preserve">La realidad:</w:t>
      </w:r>
    </w:p>
    <w:p>
      <w:pPr>
        <w:pStyle w:val="Compact"/>
        <w:numPr>
          <w:ilvl w:val="0"/>
          <w:numId w:val="1001"/>
        </w:numPr>
      </w:pPr>
      <w:r>
        <w:t xml:space="preserve">❌ No existe demanda de cobro hipotecario presentada</w:t>
      </w:r>
    </w:p>
    <w:p>
      <w:pPr>
        <w:pStyle w:val="Compact"/>
        <w:numPr>
          <w:ilvl w:val="0"/>
          <w:numId w:val="1001"/>
        </w:numPr>
      </w:pPr>
      <w:r>
        <w:t xml:space="preserve">❌ No hay proceso de ejecución iniciado</w:t>
      </w:r>
    </w:p>
    <w:p>
      <w:pPr>
        <w:pStyle w:val="Compact"/>
        <w:numPr>
          <w:ilvl w:val="0"/>
          <w:numId w:val="1001"/>
        </w:numPr>
      </w:pPr>
      <w:r>
        <w:t xml:space="preserve">❌ La</w:t>
      </w:r>
      <w:r>
        <w:t xml:space="preserve"> </w:t>
      </w:r>
      <w:r>
        <w:t xml:space="preserve">“urgencia”</w:t>
      </w:r>
      <w:r>
        <w:t xml:space="preserve"> </w:t>
      </w:r>
      <w:r>
        <w:t xml:space="preserve">es fabricada</w:t>
      </w:r>
    </w:p>
    <w:p>
      <w:pPr>
        <w:pStyle w:val="Compact"/>
        <w:numPr>
          <w:ilvl w:val="0"/>
          <w:numId w:val="1001"/>
        </w:numPr>
      </w:pPr>
      <w:r>
        <w:t xml:space="preserve">✅ El condominio simplemente quiere cobrar cuotas legítimas de mantenimiento</w:t>
      </w:r>
    </w:p>
    <w:p>
      <w:r>
        <w:pict>
          <v:rect style="width:0;height:1.5pt" o:hralign="center" o:hrstd="t" o:hr="t"/>
        </w:pict>
      </w:r>
    </w:p>
    <w:bookmarkEnd w:id="17"/>
    <w:bookmarkEnd w:id="18"/>
    <w:bookmarkStart w:id="22" w:name="X84faaf6883eaac115c766ec98b1831910cb7f85"/>
    <w:p>
      <w:pPr>
        <w:pStyle w:val="Heading2"/>
      </w:pPr>
      <w:r>
        <w:t xml:space="preserve">Argumento #3 de SFERA:</w:t>
      </w:r>
      <w:r>
        <w:t xml:space="preserve"> </w:t>
      </w:r>
      <w:r>
        <w:t xml:space="preserve">“Cuotas Injustas que Favorecen al Desarrollador”</w:t>
      </w:r>
    </w:p>
    <w:bookmarkStart w:id="19" w:name="lo-que-alegan-2"/>
    <w:p>
      <w:pPr>
        <w:pStyle w:val="Heading3"/>
      </w:pPr>
      <w:r>
        <w:t xml:space="preserve">Lo que alegan:</w:t>
      </w:r>
    </w:p>
    <w:p>
      <w:pPr>
        <w:pStyle w:val="BlockText"/>
      </w:pPr>
      <w:r>
        <w:t xml:space="preserve">“El nuevo reglamento establece cuotas diferenciadas que favorecen injustamente al desarrollador (dueño de lotes vacíos), mientras nosotros (propietarios con casas construidas) tenemos que pagar más.”</w:t>
      </w:r>
    </w:p>
    <w:bookmarkEnd w:id="19"/>
    <w:bookmarkStart w:id="20" w:name="Xe8eaf4f2a38964af2738f09c637037c1a7c3e4f"/>
    <w:p>
      <w:pPr>
        <w:pStyle w:val="Heading3"/>
      </w:pPr>
      <w:r>
        <w:t xml:space="preserve">Lo que pasó en la Asamblea (de su propia prueba):</w:t>
      </w:r>
    </w:p>
    <w:p>
      <w:pPr>
        <w:pStyle w:val="FirstParagraph"/>
      </w:pPr>
      <w:r>
        <w:t xml:space="preserve">El Acta registra:</w:t>
      </w:r>
    </w:p>
    <w:p>
      <w:pPr>
        <w:pStyle w:val="BlockText"/>
      </w:pPr>
      <w:r>
        <w:t xml:space="preserve">“Sobre este punto don Roberto Castillo interviene manifestando que la forma en que está redactada la reforma, específicamente los incisos b) y d) dan una ventaja proporcional a las filiales del desarrollador. Don Federico responde que parece que aquí hay un error en la redacción, al incluir la frase</w:t>
      </w:r>
      <w:r>
        <w:t xml:space="preserve"> </w:t>
      </w:r>
      <w:r>
        <w:t xml:space="preserve">‘que no sean del Desarrollador’</w:t>
      </w:r>
      <w:r>
        <w:t xml:space="preserve">, cuando la idea es que los porcentajes señalados en esos incisos b) y d), sean iguales para todas las filiales. Don Maryon confirma esa afirmación, y</w:t>
      </w:r>
      <w:r>
        <w:t xml:space="preserve"> </w:t>
      </w:r>
      <w:r>
        <w:rPr>
          <w:b/>
          <w:bCs/>
        </w:rPr>
        <w:t xml:space="preserve">se sugiere modificar la redacción</w:t>
      </w:r>
      <w:r>
        <w:t xml:space="preserve">.”</w:t>
      </w:r>
    </w:p>
    <w:p>
      <w:pPr>
        <w:pStyle w:val="BlockText"/>
      </w:pPr>
      <w:r>
        <w:t xml:space="preserve">“</w:t>
      </w:r>
      <w:r>
        <w:rPr>
          <w:b/>
          <w:bCs/>
        </w:rPr>
        <w:t xml:space="preserve">Se procede a modificar el documento</w:t>
      </w:r>
      <w:r>
        <w:t xml:space="preserve"> </w:t>
      </w:r>
      <w:r>
        <w:t xml:space="preserve">en la presentación para que quede en la grabación de la asamblea.”</w:t>
      </w:r>
    </w:p>
    <w:bookmarkEnd w:id="20"/>
    <w:bookmarkStart w:id="21" w:name="la-realidad-1"/>
    <w:p>
      <w:pPr>
        <w:pStyle w:val="Heading3"/>
      </w:pPr>
      <w:r>
        <w:t xml:space="preserve">La realidad:</w:t>
      </w:r>
    </w:p>
    <w:p>
      <w:pPr>
        <w:pStyle w:val="Compact"/>
        <w:numPr>
          <w:ilvl w:val="0"/>
          <w:numId w:val="1002"/>
        </w:numPr>
      </w:pPr>
      <w:r>
        <w:t xml:space="preserve">Roberto Castillo (abogado de SFERA)</w:t>
      </w:r>
      <w:r>
        <w:t xml:space="preserve"> </w:t>
      </w:r>
      <w:r>
        <w:rPr>
          <w:b/>
          <w:bCs/>
        </w:rPr>
        <w:t xml:space="preserve">objetó</w:t>
      </w:r>
      <w:r>
        <w:t xml:space="preserve"> </w:t>
      </w:r>
      <w:r>
        <w:t xml:space="preserve">la redacción</w:t>
      </w:r>
    </w:p>
    <w:p>
      <w:pPr>
        <w:pStyle w:val="Compact"/>
        <w:numPr>
          <w:ilvl w:val="0"/>
          <w:numId w:val="1002"/>
        </w:numPr>
      </w:pPr>
      <w:r>
        <w:t xml:space="preserve">La asamblea</w:t>
      </w:r>
      <w:r>
        <w:t xml:space="preserve"> </w:t>
      </w:r>
      <w:r>
        <w:rPr>
          <w:b/>
          <w:bCs/>
        </w:rPr>
        <w:t xml:space="preserve">ACEPTÓ su objeción</w:t>
      </w:r>
    </w:p>
    <w:p>
      <w:pPr>
        <w:pStyle w:val="Compact"/>
        <w:numPr>
          <w:ilvl w:val="0"/>
          <w:numId w:val="1002"/>
        </w:numPr>
      </w:pPr>
      <w:r>
        <w:t xml:space="preserve">Se</w:t>
      </w:r>
      <w:r>
        <w:t xml:space="preserve"> </w:t>
      </w:r>
      <w:r>
        <w:rPr>
          <w:b/>
          <w:bCs/>
        </w:rPr>
        <w:t xml:space="preserve">MODIFICÓ</w:t>
      </w:r>
      <w:r>
        <w:t xml:space="preserve"> </w:t>
      </w:r>
      <w:r>
        <w:t xml:space="preserve">el texto en tiempo real</w:t>
      </w:r>
    </w:p>
    <w:p>
      <w:pPr>
        <w:pStyle w:val="Compact"/>
        <w:numPr>
          <w:ilvl w:val="0"/>
          <w:numId w:val="1002"/>
        </w:numPr>
      </w:pPr>
      <w:r>
        <w:t xml:space="preserve">La modificación quedó</w:t>
      </w:r>
      <w:r>
        <w:t xml:space="preserve"> </w:t>
      </w:r>
      <w:r>
        <w:rPr>
          <w:b/>
          <w:bCs/>
        </w:rPr>
        <w:t xml:space="preserve">grabada</w:t>
      </w:r>
      <w:r>
        <w:t xml:space="preserve"> </w:t>
      </w:r>
      <w:r>
        <w:t xml:space="preserve">en Microsoft Teams</w:t>
      </w:r>
    </w:p>
    <w:p>
      <w:pPr>
        <w:pStyle w:val="Compact"/>
        <w:numPr>
          <w:ilvl w:val="0"/>
          <w:numId w:val="1002"/>
        </w:numPr>
      </w:pPr>
      <w:r>
        <w:rPr>
          <w:b/>
          <w:bCs/>
        </w:rPr>
        <w:t xml:space="preserve">A pesar de que su objeción fue incorporada, votaron en contra de todos modos</w:t>
      </w:r>
    </w:p>
    <w:p>
      <w:r>
        <w:pict>
          <v:rect style="width:0;height:1.5pt" o:hralign="center" o:hrstd="t" o:hr="t"/>
        </w:pict>
      </w:r>
    </w:p>
    <w:bookmarkEnd w:id="21"/>
    <w:bookmarkEnd w:id="22"/>
    <w:bookmarkStart w:id="25" w:name="Xfa42d3ce34b4a937f6f1c7abea5fc2625fd503b"/>
    <w:p>
      <w:pPr>
        <w:pStyle w:val="Heading2"/>
      </w:pPr>
      <w:r>
        <w:t xml:space="preserve">Argumento #4 de SFERA:</w:t>
      </w:r>
      <w:r>
        <w:t xml:space="preserve"> </w:t>
      </w:r>
      <w:r>
        <w:t xml:space="preserve">“No Oposición = Aceptación Automática”</w:t>
      </w:r>
    </w:p>
    <w:bookmarkStart w:id="23" w:name="lo-que-alegan-21-de-mayo-2026"/>
    <w:p>
      <w:pPr>
        <w:pStyle w:val="Heading3"/>
      </w:pPr>
      <w:r>
        <w:t xml:space="preserve">Lo que alegan (21 de mayo 2026):</w:t>
      </w:r>
    </w:p>
    <w:p>
      <w:pPr>
        <w:pStyle w:val="BlockText"/>
      </w:pPr>
      <w:r>
        <w:t xml:space="preserve">“El condominio fue notificado el 17 de mayo. El plazo de 3 días venció el 20 de mayo. No hubo oposición. Conforme al Artículo 96 del CPC, la falta de oposición implica conformidad con la medida. Otorguen la cautelar automáticamente.”</w:t>
      </w:r>
    </w:p>
    <w:bookmarkEnd w:id="23"/>
    <w:bookmarkStart w:id="24" w:name="la-realidad-2"/>
    <w:p>
      <w:pPr>
        <w:pStyle w:val="Heading3"/>
      </w:pPr>
      <w:r>
        <w:t xml:space="preserve">La realidad:</w:t>
      </w:r>
    </w:p>
    <w:p>
      <w:pPr>
        <w:pStyle w:val="FirstParagraph"/>
      </w:pPr>
      <w:r>
        <w:rPr>
          <w:b/>
          <w:bCs/>
        </w:rPr>
        <w:t xml:space="preserve">La notificación fue NULA:</w:t>
      </w:r>
    </w:p>
    <w:p>
      <w:pPr>
        <w:pStyle w:val="Compact"/>
        <w:numPr>
          <w:ilvl w:val="0"/>
          <w:numId w:val="1003"/>
        </w:numPr>
      </w:pPr>
      <w:r>
        <w:t xml:space="preserve">El notario Diego Oporto Mejía llegó a La Luna el 17 de mayo</w:t>
      </w:r>
    </w:p>
    <w:p>
      <w:pPr>
        <w:pStyle w:val="Compact"/>
        <w:numPr>
          <w:ilvl w:val="0"/>
          <w:numId w:val="1003"/>
        </w:numPr>
      </w:pPr>
      <w:r>
        <w:t xml:space="preserve">Angela Vaila Fraser Russel (representante legal)</w:t>
      </w:r>
      <w:r>
        <w:t xml:space="preserve"> </w:t>
      </w:r>
      <w:r>
        <w:rPr>
          <w:b/>
          <w:bCs/>
        </w:rPr>
        <w:t xml:space="preserve">NO estaba</w:t>
      </w:r>
    </w:p>
    <w:p>
      <w:pPr>
        <w:pStyle w:val="Compact"/>
        <w:numPr>
          <w:ilvl w:val="0"/>
          <w:numId w:val="1003"/>
        </w:numPr>
      </w:pPr>
      <w:r>
        <w:t xml:space="preserve">Trabajadores informaron que Angela no estaba disponible</w:t>
      </w:r>
    </w:p>
    <w:p>
      <w:pPr>
        <w:pStyle w:val="Compact"/>
        <w:numPr>
          <w:ilvl w:val="0"/>
          <w:numId w:val="1003"/>
        </w:numPr>
      </w:pPr>
      <w:r>
        <w:rPr>
          <w:b/>
          <w:bCs/>
        </w:rPr>
        <w:t xml:space="preserve">El notario reaccionó con molestia, arrojó los documentos sobre una mesa y se retiró</w:t>
      </w:r>
    </w:p>
    <w:p>
      <w:pPr>
        <w:pStyle w:val="Compact"/>
        <w:numPr>
          <w:ilvl w:val="0"/>
          <w:numId w:val="1003"/>
        </w:numPr>
      </w:pPr>
      <w:r>
        <w:rPr>
          <w:b/>
          <w:bCs/>
        </w:rPr>
        <w:t xml:space="preserve">Nadie recibió</w:t>
      </w:r>
      <w:r>
        <w:t xml:space="preserve"> </w:t>
      </w:r>
      <w:r>
        <w:t xml:space="preserve">los documentos formalmente</w:t>
      </w:r>
    </w:p>
    <w:p>
      <w:pPr>
        <w:pStyle w:val="Compact"/>
        <w:numPr>
          <w:ilvl w:val="0"/>
          <w:numId w:val="1003"/>
        </w:numPr>
      </w:pPr>
      <w:r>
        <w:rPr>
          <w:b/>
          <w:bCs/>
        </w:rPr>
        <w:t xml:space="preserve">Nadie firmó</w:t>
      </w:r>
      <w:r>
        <w:t xml:space="preserve"> </w:t>
      </w:r>
      <w:r>
        <w:t xml:space="preserve">constancia de recibo</w:t>
      </w:r>
    </w:p>
    <w:p>
      <w:pPr>
        <w:pStyle w:val="Compact"/>
        <w:numPr>
          <w:ilvl w:val="0"/>
          <w:numId w:val="1003"/>
        </w:numPr>
      </w:pPr>
      <w:r>
        <w:rPr>
          <w:b/>
          <w:bCs/>
        </w:rPr>
        <w:t xml:space="preserve">3 testigos</w:t>
      </w:r>
      <w:r>
        <w:t xml:space="preserve"> </w:t>
      </w:r>
      <w:r>
        <w:t xml:space="preserve">presenciaron estos hechos</w:t>
      </w:r>
    </w:p>
    <w:p>
      <w:pPr>
        <w:pStyle w:val="FirstParagraph"/>
      </w:pPr>
      <w:r>
        <w:rPr>
          <w:b/>
          <w:bCs/>
        </w:rPr>
        <w:t xml:space="preserve">Ley de Notificaciones Judiciales N° 8687:</w:t>
      </w:r>
      <w:r>
        <w:t xml:space="preserve"> </w:t>
      </w:r>
      <w:r>
        <w:t xml:space="preserve">- Art. 29: Requiere entrega efectiva</w:t>
      </w:r>
      <w:r>
        <w:t xml:space="preserve"> </w:t>
      </w:r>
      <w:r>
        <w:t xml:space="preserve">- Art. 31: Para personas jurídicas, al representante legal o persona autorizada</w:t>
      </w:r>
      <w:r>
        <w:t xml:space="preserve"> </w:t>
      </w:r>
      <w:r>
        <w:t xml:space="preserve">- Art. 33: Debe haber firma del receptor</w:t>
      </w:r>
    </w:p>
    <w:p>
      <w:pPr>
        <w:pStyle w:val="BodyText"/>
      </w:pPr>
      <w:r>
        <w:rPr>
          <w:b/>
          <w:bCs/>
        </w:rPr>
        <w:t xml:space="preserve">Arrojar papeles en una mesa NO es notificación válida.</w:t>
      </w:r>
    </w:p>
    <w:p>
      <w:r>
        <w:pict>
          <v:rect style="width:0;height:1.5pt" o:hralign="center" o:hrstd="t" o:hr="t"/>
        </w:pict>
      </w:r>
    </w:p>
    <w:bookmarkEnd w:id="24"/>
    <w:bookmarkEnd w:id="25"/>
    <w:bookmarkEnd w:id="26"/>
    <w:bookmarkStart w:id="38" w:name="parte-ii-quiénes-son-estos-residentes"/>
    <w:p>
      <w:pPr>
        <w:pStyle w:val="Heading1"/>
      </w:pPr>
      <w:r>
        <w:t xml:space="preserve">PARTE II: ¿QUIÉNES SON ESTOS</w:t>
      </w:r>
      <w:r>
        <w:t xml:space="preserve"> </w:t>
      </w:r>
      <w:r>
        <w:t xml:space="preserve">“RESIDENTES”</w:t>
      </w:r>
      <w:r>
        <w:t xml:space="preserve">?</w:t>
      </w:r>
    </w:p>
    <w:bookmarkStart w:id="27" w:name="las-4-sociedades-actoras"/>
    <w:p>
      <w:pPr>
        <w:pStyle w:val="Heading2"/>
      </w:pPr>
      <w:r>
        <w:t xml:space="preserve">Las 4 Sociedades Actoras</w:t>
      </w:r>
    </w:p>
    <w:tbl>
      <w:tblPr>
        <w:tblStyle w:val="Table"/>
        <w:tblW w:type="pct" w:w="5000"/>
        <w:tblLayout w:type="fixed"/>
        <w:tblLook w:firstRow="1" w:lastRow="0" w:firstColumn="0" w:lastColumn="0" w:noHBand="0" w:noVBand="0" w:val="0020"/>
      </w:tblPr>
      <w:tblGrid>
        <w:gridCol w:w="1466"/>
        <w:gridCol w:w="2053"/>
        <w:gridCol w:w="3080"/>
        <w:gridCol w:w="1320"/>
      </w:tblGrid>
      <w:tr>
        <w:trPr>
          <w:tblHeader w:val="on"/>
        </w:trPr>
        <w:tc>
          <w:tcPr/>
          <w:p>
            <w:pPr>
              <w:pStyle w:val="Compact"/>
            </w:pPr>
            <w:r>
              <w:t xml:space="preserve">Sociedad</w:t>
            </w:r>
          </w:p>
        </w:tc>
        <w:tc>
          <w:tcPr/>
          <w:p>
            <w:pPr>
              <w:pStyle w:val="Compact"/>
            </w:pPr>
            <w:r>
              <w:t xml:space="preserve">Finca Filial</w:t>
            </w:r>
          </w:p>
        </w:tc>
        <w:tc>
          <w:tcPr/>
          <w:p>
            <w:pPr>
              <w:pStyle w:val="Compact"/>
            </w:pPr>
            <w:r>
              <w:t xml:space="preserve">Persona Relacionada</w:t>
            </w:r>
          </w:p>
        </w:tc>
        <w:tc>
          <w:tcPr/>
          <w:p>
            <w:pPr>
              <w:pStyle w:val="Compact"/>
            </w:pPr>
            <w:r>
              <w:t xml:space="preserve">% Valor</w:t>
            </w:r>
          </w:p>
        </w:tc>
      </w:tr>
      <w:tr>
        <w:tc>
          <w:tcPr/>
          <w:p>
            <w:pPr>
              <w:pStyle w:val="Compact"/>
            </w:pPr>
            <w:r>
              <w:t xml:space="preserve">Propiedades Terrazas del Arco Iris</w:t>
            </w:r>
          </w:p>
        </w:tc>
        <w:tc>
          <w:tcPr/>
          <w:p>
            <w:pPr>
              <w:pStyle w:val="Compact"/>
            </w:pPr>
            <w:r>
              <w:t xml:space="preserve">FF01</w:t>
            </w:r>
          </w:p>
        </w:tc>
        <w:tc>
          <w:tcPr/>
          <w:p>
            <w:pPr>
              <w:pStyle w:val="Compact"/>
            </w:pPr>
            <w:r>
              <w:t xml:space="preserve">(Por identificar)</w:t>
            </w:r>
          </w:p>
        </w:tc>
        <w:tc>
          <w:tcPr/>
          <w:p>
            <w:pPr>
              <w:pStyle w:val="Compact"/>
            </w:pPr>
            <w:r>
              <w:t xml:space="preserve">4.67%</w:t>
            </w:r>
          </w:p>
        </w:tc>
      </w:tr>
      <w:tr>
        <w:tc>
          <w:tcPr/>
          <w:p>
            <w:pPr>
              <w:pStyle w:val="Compact"/>
            </w:pPr>
            <w:r>
              <w:t xml:space="preserve">Gratum Nosara S.R.L.</w:t>
            </w:r>
          </w:p>
        </w:tc>
        <w:tc>
          <w:tcPr/>
          <w:p>
            <w:pPr>
              <w:pStyle w:val="Compact"/>
            </w:pPr>
            <w:r>
              <w:t xml:space="preserve">FF04</w:t>
            </w:r>
          </w:p>
        </w:tc>
        <w:tc>
          <w:tcPr/>
          <w:p>
            <w:pPr>
              <w:pStyle w:val="Compact"/>
            </w:pPr>
            <w:r>
              <w:t xml:space="preserve">(Por identificar)</w:t>
            </w:r>
          </w:p>
        </w:tc>
        <w:tc>
          <w:tcPr/>
          <w:p>
            <w:pPr>
              <w:pStyle w:val="Compact"/>
            </w:pPr>
            <w:r>
              <w:t xml:space="preserve">2.71%</w:t>
            </w:r>
          </w:p>
        </w:tc>
      </w:tr>
      <w:tr>
        <w:tc>
          <w:tcPr/>
          <w:p>
            <w:pPr>
              <w:pStyle w:val="Compact"/>
            </w:pPr>
            <w:r>
              <w:t xml:space="preserve">Rancho Verde Riabov S.R.L.</w:t>
            </w:r>
          </w:p>
        </w:tc>
        <w:tc>
          <w:tcPr/>
          <w:p>
            <w:pPr>
              <w:pStyle w:val="Compact"/>
            </w:pPr>
            <w:r>
              <w:t xml:space="preserve">FF20</w:t>
            </w:r>
          </w:p>
        </w:tc>
        <w:tc>
          <w:tcPr/>
          <w:p>
            <w:pPr>
              <w:pStyle w:val="Compact"/>
            </w:pPr>
            <w:r>
              <w:t xml:space="preserve">(Por identificar)</w:t>
            </w:r>
          </w:p>
        </w:tc>
        <w:tc>
          <w:tcPr/>
          <w:p>
            <w:pPr>
              <w:pStyle w:val="Compact"/>
            </w:pPr>
            <w:r>
              <w:t xml:space="preserve">2.58%</w:t>
            </w:r>
          </w:p>
        </w:tc>
      </w:tr>
      <w:tr>
        <w:tc>
          <w:tcPr/>
          <w:p>
            <w:pPr>
              <w:pStyle w:val="Compact"/>
            </w:pPr>
            <w:r>
              <w:t xml:space="preserve">Rancho Azul Guzmán Ltda.</w:t>
            </w:r>
          </w:p>
        </w:tc>
        <w:tc>
          <w:tcPr/>
          <w:p>
            <w:pPr>
              <w:pStyle w:val="Compact"/>
            </w:pPr>
            <w:r>
              <w:t xml:space="preserve">FF32</w:t>
            </w:r>
          </w:p>
        </w:tc>
        <w:tc>
          <w:tcPr/>
          <w:p>
            <w:pPr>
              <w:pStyle w:val="Compact"/>
            </w:pPr>
            <w:r>
              <w:t xml:space="preserve">Matthew Fitzmaurice</w:t>
            </w:r>
          </w:p>
        </w:tc>
        <w:tc>
          <w:tcPr/>
          <w:p>
            <w:pPr>
              <w:pStyle w:val="Compact"/>
            </w:pPr>
            <w:r>
              <w:t xml:space="preserve">6.55%</w:t>
            </w:r>
          </w:p>
        </w:tc>
      </w:tr>
    </w:tbl>
    <w:p>
      <w:pPr>
        <w:pStyle w:val="BodyText"/>
      </w:pPr>
      <w:r>
        <w:rPr>
          <w:b/>
          <w:bCs/>
        </w:rPr>
        <w:t xml:space="preserve">Total:</w:t>
      </w:r>
      <w:r>
        <w:t xml:space="preserve"> </w:t>
      </w:r>
      <w:r>
        <w:t xml:space="preserve">4 filiales de 36 =</w:t>
      </w:r>
      <w:r>
        <w:t xml:space="preserve"> </w:t>
      </w:r>
      <w:r>
        <w:rPr>
          <w:b/>
          <w:bCs/>
        </w:rPr>
        <w:t xml:space="preserve">11% de las unidades</w:t>
      </w:r>
      <w:r>
        <w:br/>
      </w:r>
      <w:r>
        <w:rPr>
          <w:b/>
          <w:bCs/>
        </w:rPr>
        <w:t xml:space="preserve">Total valor:</w:t>
      </w:r>
      <w:r>
        <w:t xml:space="preserve"> </w:t>
      </w:r>
      <w:r>
        <w:t xml:space="preserve">16.51% del condominio</w:t>
      </w:r>
    </w:p>
    <w:p>
      <w:r>
        <w:pict>
          <v:rect style="width:0;height:1.5pt" o:hralign="center" o:hrstd="t" o:hr="t"/>
        </w:pict>
      </w:r>
    </w:p>
    <w:bookmarkEnd w:id="27"/>
    <w:bookmarkStart w:id="30" w:name="historial-de-pago-cero"/>
    <w:p>
      <w:pPr>
        <w:pStyle w:val="Heading2"/>
      </w:pPr>
      <w:r>
        <w:t xml:space="preserve">Historial de Pago: CERO</w:t>
      </w:r>
    </w:p>
    <w:bookmarkStart w:id="28" w:name="deuda-acumulada"/>
    <w:p>
      <w:pPr>
        <w:pStyle w:val="Heading3"/>
      </w:pPr>
      <w:r>
        <w:t xml:space="preserve">Deuda Acumulada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Filial</w:t>
            </w:r>
          </w:p>
        </w:tc>
        <w:tc>
          <w:tcPr/>
          <w:p>
            <w:pPr>
              <w:pStyle w:val="Compact"/>
            </w:pPr>
            <w:r>
              <w:t xml:space="preserve">Deuda Estimada</w:t>
            </w:r>
          </w:p>
        </w:tc>
        <w:tc>
          <w:tcPr/>
          <w:p>
            <w:pPr>
              <w:pStyle w:val="Compact"/>
            </w:pPr>
            <w:r>
              <w:t xml:space="preserve">Meses sin pagar</w:t>
            </w:r>
          </w:p>
        </w:tc>
      </w:tr>
      <w:tr>
        <w:tc>
          <w:tcPr/>
          <w:p>
            <w:pPr>
              <w:pStyle w:val="Compact"/>
            </w:pPr>
            <w:r>
              <w:t xml:space="preserve">FF01</w:t>
            </w:r>
          </w:p>
        </w:tc>
        <w:tc>
          <w:tcPr/>
          <w:p>
            <w:pPr>
              <w:pStyle w:val="Compact"/>
            </w:pPr>
            <w:r>
              <w:t xml:space="preserve">&gt;$6,000</w:t>
            </w:r>
          </w:p>
        </w:tc>
        <w:tc>
          <w:tcPr/>
          <w:p>
            <w:pPr>
              <w:pStyle w:val="Compact"/>
            </w:pPr>
            <w:r>
              <w:t xml:space="preserve">+24 meses</w:t>
            </w:r>
          </w:p>
        </w:tc>
      </w:tr>
      <w:tr>
        <w:tc>
          <w:tcPr/>
          <w:p>
            <w:pPr>
              <w:pStyle w:val="Compact"/>
            </w:pPr>
            <w:r>
              <w:t xml:space="preserve">FF04</w:t>
            </w:r>
          </w:p>
        </w:tc>
        <w:tc>
          <w:tcPr/>
          <w:p>
            <w:pPr>
              <w:pStyle w:val="Compact"/>
            </w:pPr>
            <w:r>
              <w:t xml:space="preserve">&gt;$6,000</w:t>
            </w:r>
          </w:p>
        </w:tc>
        <w:tc>
          <w:tcPr/>
          <w:p>
            <w:pPr>
              <w:pStyle w:val="Compact"/>
            </w:pPr>
            <w:r>
              <w:t xml:space="preserve">+24 meses</w:t>
            </w:r>
          </w:p>
        </w:tc>
      </w:tr>
      <w:tr>
        <w:tc>
          <w:tcPr/>
          <w:p>
            <w:pPr>
              <w:pStyle w:val="Compact"/>
            </w:pPr>
            <w:r>
              <w:t xml:space="preserve">FF20</w:t>
            </w:r>
          </w:p>
        </w:tc>
        <w:tc>
          <w:tcPr/>
          <w:p>
            <w:pPr>
              <w:pStyle w:val="Compact"/>
            </w:pPr>
            <w:r>
              <w:t xml:space="preserve">&gt;$6,000</w:t>
            </w:r>
          </w:p>
        </w:tc>
        <w:tc>
          <w:tcPr/>
          <w:p>
            <w:pPr>
              <w:pStyle w:val="Compact"/>
            </w:pPr>
            <w:r>
              <w:t xml:space="preserve">+24 meses</w:t>
            </w:r>
          </w:p>
        </w:tc>
      </w:tr>
      <w:tr>
        <w:tc>
          <w:tcPr/>
          <w:p>
            <w:pPr>
              <w:pStyle w:val="Compact"/>
            </w:pPr>
            <w:r>
              <w:t xml:space="preserve">FF32</w:t>
            </w:r>
          </w:p>
        </w:tc>
        <w:tc>
          <w:tcPr/>
          <w:p>
            <w:pPr>
              <w:pStyle w:val="Compact"/>
            </w:pPr>
            <w:r>
              <w:t xml:space="preserve">&gt;$6,000</w:t>
            </w:r>
          </w:p>
        </w:tc>
        <w:tc>
          <w:tcPr/>
          <w:p>
            <w:pPr>
              <w:pStyle w:val="Compact"/>
            </w:pPr>
            <w:r>
              <w:t xml:space="preserve">Desde julio 2024</w:t>
            </w:r>
          </w:p>
        </w:tc>
      </w:tr>
      <w:tr>
        <w:tc>
          <w:tcPr/>
          <w:p>
            <w:pPr>
              <w:pStyle w:val="Compact"/>
            </w:pPr>
            <w:r>
              <w:rPr>
                <w:b/>
                <w:bCs/>
              </w:rPr>
              <w:t xml:space="preserve">TOTAL</w:t>
            </w:r>
          </w:p>
        </w:tc>
        <w:tc>
          <w:tcPr/>
          <w:p>
            <w:pPr>
              <w:pStyle w:val="Compact"/>
            </w:pPr>
            <w:r>
              <w:rPr>
                <w:b/>
                <w:bCs/>
              </w:rPr>
              <w:t xml:space="preserve">&gt;$24,000</w:t>
            </w:r>
          </w:p>
        </w:tc>
        <w:tc>
          <w:tcPr/>
          <w:p>
            <w:pPr>
              <w:pStyle w:val="Compact"/>
            </w:pPr>
          </w:p>
        </w:tc>
      </w:tr>
    </w:tbl>
    <w:bookmarkEnd w:id="28"/>
    <w:bookmarkStart w:id="29" w:name="no-han-pagado-bajo-ningún-régimen"/>
    <w:p>
      <w:pPr>
        <w:pStyle w:val="Heading3"/>
      </w:pPr>
      <w:r>
        <w:t xml:space="preserve">No Han Pagado Bajo NINGÚN Régimen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Período</w:t>
            </w:r>
          </w:p>
        </w:tc>
        <w:tc>
          <w:tcPr/>
          <w:p>
            <w:pPr>
              <w:pStyle w:val="Compact"/>
            </w:pPr>
            <w:r>
              <w:t xml:space="preserve">Régimen Vigente</w:t>
            </w:r>
          </w:p>
        </w:tc>
        <w:tc>
          <w:tcPr/>
          <w:p>
            <w:pPr>
              <w:pStyle w:val="Compact"/>
            </w:pPr>
            <w:r>
              <w:t xml:space="preserve">¿Pagaron?</w:t>
            </w:r>
          </w:p>
        </w:tc>
      </w:tr>
      <w:tr>
        <w:tc>
          <w:tcPr/>
          <w:p>
            <w:pPr>
              <w:pStyle w:val="Compact"/>
            </w:pPr>
            <w:r>
              <w:t xml:space="preserve">2024</w:t>
            </w:r>
          </w:p>
        </w:tc>
        <w:tc>
          <w:tcPr/>
          <w:p>
            <w:pPr>
              <w:pStyle w:val="Compact"/>
            </w:pPr>
            <w:r>
              <w:t xml:space="preserve">Presupuesto original</w:t>
            </w:r>
          </w:p>
        </w:tc>
        <w:tc>
          <w:tcPr/>
          <w:p>
            <w:pPr>
              <w:pStyle w:val="Compact"/>
            </w:pPr>
            <w:r>
              <w:t xml:space="preserve">❌ NO</w:t>
            </w:r>
          </w:p>
        </w:tc>
      </w:tr>
      <w:tr>
        <w:tc>
          <w:tcPr/>
          <w:p>
            <w:pPr>
              <w:pStyle w:val="Compact"/>
            </w:pPr>
            <w:r>
              <w:t xml:space="preserve">Feb-Oct 2025</w:t>
            </w:r>
          </w:p>
        </w:tc>
        <w:tc>
          <w:tcPr/>
          <w:p>
            <w:pPr>
              <w:pStyle w:val="Compact"/>
            </w:pPr>
            <w:r>
              <w:t xml:space="preserve">Acuerdos asamblea Feb 2025</w:t>
            </w:r>
          </w:p>
        </w:tc>
        <w:tc>
          <w:tcPr/>
          <w:p>
            <w:pPr>
              <w:pStyle w:val="Compact"/>
            </w:pPr>
            <w:r>
              <w:t xml:space="preserve">❌ NO</w:t>
            </w:r>
          </w:p>
        </w:tc>
      </w:tr>
      <w:tr>
        <w:tc>
          <w:tcPr/>
          <w:p>
            <w:pPr>
              <w:pStyle w:val="Compact"/>
            </w:pPr>
            <w:r>
              <w:t xml:space="preserve">Oct 2025-Mar 2026</w:t>
            </w:r>
          </w:p>
        </w:tc>
        <w:tc>
          <w:tcPr/>
          <w:p>
            <w:pPr>
              <w:pStyle w:val="Compact"/>
            </w:pPr>
            <w:r>
              <w:rPr>
                <w:b/>
                <w:bCs/>
              </w:rPr>
              <w:t xml:space="preserve">Revertido a 2024 por cautelar</w:t>
            </w:r>
          </w:p>
        </w:tc>
        <w:tc>
          <w:tcPr/>
          <w:p>
            <w:pPr>
              <w:pStyle w:val="Compact"/>
            </w:pPr>
            <w:r>
              <w:t xml:space="preserve">❌ NO</w:t>
            </w:r>
          </w:p>
        </w:tc>
      </w:tr>
      <w:tr>
        <w:tc>
          <w:tcPr/>
          <w:p>
            <w:pPr>
              <w:pStyle w:val="Compact"/>
            </w:pPr>
            <w:r>
              <w:t xml:space="preserve">Mar 2026-presente</w:t>
            </w:r>
          </w:p>
        </w:tc>
        <w:tc>
          <w:tcPr/>
          <w:p>
            <w:pPr>
              <w:pStyle w:val="Compact"/>
            </w:pPr>
            <w:r>
              <w:t xml:space="preserve">Acuerdos asamblea Mar 2026</w:t>
            </w:r>
          </w:p>
        </w:tc>
        <w:tc>
          <w:tcPr/>
          <w:p>
            <w:pPr>
              <w:pStyle w:val="Compact"/>
            </w:pPr>
            <w:r>
              <w:t xml:space="preserve">❌ NO</w:t>
            </w:r>
          </w:p>
        </w:tc>
      </w:tr>
    </w:tbl>
    <w:p>
      <w:pPr>
        <w:pStyle w:val="BodyText"/>
      </w:pPr>
      <w:r>
        <w:rPr>
          <w:b/>
          <w:bCs/>
        </w:rPr>
        <w:t xml:space="preserve">Punto clave:</w:t>
      </w:r>
      <w:r>
        <w:t xml:space="preserve"> </w:t>
      </w:r>
      <w:r>
        <w:t xml:space="preserve">Cuando SFERA obtuvo la cautelar en 2025 y el condominio regresó al régimen de 2024, estos residentes</w:t>
      </w:r>
      <w:r>
        <w:t xml:space="preserve"> </w:t>
      </w:r>
      <w:r>
        <w:rPr>
          <w:b/>
          <w:bCs/>
        </w:rPr>
        <w:t xml:space="preserve">TAMPOCO PAGARON</w:t>
      </w:r>
      <w:r>
        <w:t xml:space="preserve">. Obtuvieron exactamente lo que pidieron — y siguieron sin pagar.</w:t>
      </w:r>
    </w:p>
    <w:p>
      <w:pPr>
        <w:pStyle w:val="BodyText"/>
      </w:pPr>
      <w:r>
        <w:rPr>
          <w:b/>
          <w:bCs/>
        </w:rPr>
        <w:t xml:space="preserve">Conclusión:</w:t>
      </w:r>
      <w:r>
        <w:t xml:space="preserve"> </w:t>
      </w:r>
      <w:r>
        <w:t xml:space="preserve">Su problema no es el reglamento. No es la fórmula de cálculo. No son las cuotas diferenciadas.</w:t>
      </w:r>
      <w:r>
        <w:t xml:space="preserve"> </w:t>
      </w:r>
      <w:r>
        <w:rPr>
          <w:b/>
          <w:bCs/>
        </w:rPr>
        <w:t xml:space="preserve">Su problema es pagar cualquier cosa.</w:t>
      </w:r>
    </w:p>
    <w:p>
      <w:r>
        <w:pict>
          <v:rect style="width:0;height:1.5pt" o:hralign="center" o:hrstd="t" o:hr="t"/>
        </w:pict>
      </w:r>
    </w:p>
    <w:bookmarkEnd w:id="29"/>
    <w:bookmarkEnd w:id="30"/>
    <w:bookmarkStart w:id="36" w:name="historial-de-conducta"/>
    <w:p>
      <w:pPr>
        <w:pStyle w:val="Heading2"/>
      </w:pPr>
      <w:r>
        <w:t xml:space="preserve">Historial de Conducta</w:t>
      </w:r>
    </w:p>
    <w:bookmarkStart w:id="31" w:name="impago-sistemático-2-años"/>
    <w:p>
      <w:pPr>
        <w:pStyle w:val="Heading3"/>
      </w:pPr>
      <w:r>
        <w:t xml:space="preserve">1. Impago Sistemático (+2 años)</w:t>
      </w:r>
    </w:p>
    <w:p>
      <w:pPr>
        <w:pStyle w:val="Compact"/>
        <w:numPr>
          <w:ilvl w:val="0"/>
          <w:numId w:val="1004"/>
        </w:numPr>
      </w:pPr>
      <w:r>
        <w:t xml:space="preserve">No pagan cuotas de mantenimiento desde 2024</w:t>
      </w:r>
    </w:p>
    <w:p>
      <w:pPr>
        <w:pStyle w:val="Compact"/>
        <w:numPr>
          <w:ilvl w:val="0"/>
          <w:numId w:val="1004"/>
        </w:numPr>
      </w:pPr>
      <w:r>
        <w:t xml:space="preserve">Deuda combinada superior a $24,000</w:t>
      </w:r>
    </w:p>
    <w:p>
      <w:pPr>
        <w:pStyle w:val="Compact"/>
        <w:numPr>
          <w:ilvl w:val="0"/>
          <w:numId w:val="1004"/>
        </w:numPr>
      </w:pPr>
      <w:r>
        <w:t xml:space="preserve">Continúan usando servicios del condominio (seguridad, mantenimiento, áreas comunes)</w:t>
      </w:r>
    </w:p>
    <w:bookmarkEnd w:id="31"/>
    <w:bookmarkStart w:id="32" w:name="denuncias-penales-falsas-2025"/>
    <w:p>
      <w:pPr>
        <w:pStyle w:val="Heading3"/>
      </w:pPr>
      <w:r>
        <w:t xml:space="preserve">2. Denuncias Penales Falsas (2025)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Denuncia</w:t>
            </w:r>
          </w:p>
        </w:tc>
        <w:tc>
          <w:tcPr/>
          <w:p>
            <w:pPr>
              <w:pStyle w:val="Compact"/>
            </w:pPr>
            <w:r>
              <w:t xml:space="preserve">Estado</w:t>
            </w:r>
          </w:p>
        </w:tc>
      </w:tr>
      <w:tr>
        <w:tc>
          <w:tcPr/>
          <w:p>
            <w:pPr>
              <w:pStyle w:val="Compact"/>
            </w:pPr>
            <w:r>
              <w:t xml:space="preserve">Usurpación</w:t>
            </w:r>
          </w:p>
        </w:tc>
        <w:tc>
          <w:tcPr/>
          <w:p>
            <w:pPr>
              <w:pStyle w:val="Compact"/>
            </w:pPr>
            <w:r>
              <w:rPr>
                <w:b/>
                <w:bCs/>
              </w:rPr>
              <w:t xml:space="preserve">EN PROCESO DE ARCHIVO</w:t>
            </w:r>
          </w:p>
        </w:tc>
      </w:tr>
      <w:tr>
        <w:tc>
          <w:tcPr/>
          <w:p>
            <w:pPr>
              <w:pStyle w:val="Compact"/>
            </w:pPr>
            <w:r>
              <w:t xml:space="preserve">Infracción Ley Forestal #1</w:t>
            </w:r>
          </w:p>
        </w:tc>
        <w:tc>
          <w:tcPr/>
          <w:p>
            <w:pPr>
              <w:pStyle w:val="Compact"/>
            </w:pPr>
            <w:r>
              <w:rPr>
                <w:b/>
                <w:bCs/>
              </w:rPr>
              <w:t xml:space="preserve">EN PROCESO DE ARCHIVO</w:t>
            </w:r>
          </w:p>
        </w:tc>
      </w:tr>
      <w:tr>
        <w:tc>
          <w:tcPr/>
          <w:p>
            <w:pPr>
              <w:pStyle w:val="Compact"/>
            </w:pPr>
            <w:r>
              <w:t xml:space="preserve">Infracción Ley Forestal #2</w:t>
            </w:r>
          </w:p>
        </w:tc>
        <w:tc>
          <w:tcPr/>
          <w:p>
            <w:pPr>
              <w:pStyle w:val="Compact"/>
            </w:pPr>
            <w:r>
              <w:rPr>
                <w:b/>
                <w:bCs/>
              </w:rPr>
              <w:t xml:space="preserve">EN PROCESO DE ARCHIVO</w:t>
            </w:r>
          </w:p>
        </w:tc>
      </w:tr>
      <w:tr>
        <w:tc>
          <w:tcPr/>
          <w:p>
            <w:pPr>
              <w:pStyle w:val="Compact"/>
            </w:pPr>
            <w:r>
              <w:t xml:space="preserve">Infracción Ley Forestal #3</w:t>
            </w:r>
          </w:p>
        </w:tc>
        <w:tc>
          <w:tcPr/>
          <w:p>
            <w:pPr>
              <w:pStyle w:val="Compact"/>
            </w:pPr>
            <w:r>
              <w:rPr>
                <w:b/>
                <w:bCs/>
              </w:rPr>
              <w:t xml:space="preserve">EN PROCESO DE ARCHIVO</w:t>
            </w:r>
          </w:p>
        </w:tc>
      </w:tr>
    </w:tbl>
    <w:p>
      <w:pPr>
        <w:pStyle w:val="BodyText"/>
      </w:pPr>
      <w:r>
        <w:t xml:space="preserve">Presentaron 4 denuncias penales — todas en proceso de archivo por falta de fundamento.</w:t>
      </w:r>
    </w:p>
    <w:bookmarkEnd w:id="32"/>
    <w:bookmarkStart w:id="33" w:name="violaciones-de-seguridad-agosto-2025"/>
    <w:p>
      <w:pPr>
        <w:pStyle w:val="Heading3"/>
      </w:pPr>
      <w:r>
        <w:t xml:space="preserve">3. Violaciones de Seguridad (Agosto 2025)</w:t>
      </w:r>
    </w:p>
    <w:p>
      <w:pPr>
        <w:pStyle w:val="Compact"/>
        <w:numPr>
          <w:ilvl w:val="0"/>
          <w:numId w:val="1005"/>
        </w:numPr>
      </w:pPr>
      <w:r>
        <w:t xml:space="preserve">Ingreso forzado al condominio burlando controles de seguridad</w:t>
      </w:r>
    </w:p>
    <w:p>
      <w:pPr>
        <w:pStyle w:val="Compact"/>
        <w:numPr>
          <w:ilvl w:val="0"/>
          <w:numId w:val="1005"/>
        </w:numPr>
      </w:pPr>
      <w:r>
        <w:t xml:space="preserve">Instalación de cámaras no autorizadas en áreas comunes</w:t>
      </w:r>
    </w:p>
    <w:bookmarkEnd w:id="33"/>
    <w:bookmarkStart w:id="34" w:name="amenazas-a-terceros"/>
    <w:p>
      <w:pPr>
        <w:pStyle w:val="Heading3"/>
      </w:pPr>
      <w:r>
        <w:t xml:space="preserve">4. Amenazas a Terceros</w:t>
      </w:r>
    </w:p>
    <w:p>
      <w:pPr>
        <w:pStyle w:val="FirstParagraph"/>
      </w:pPr>
      <w:r>
        <w:t xml:space="preserve">SFERA Legal amenazó por error a la arquitecta Milagro Castro, confundiéndola con otra persona involucrada en el condominio.</w:t>
      </w:r>
    </w:p>
    <w:bookmarkEnd w:id="34"/>
    <w:bookmarkStart w:id="35" w:name="conducta-en-asamblea-marzo-2026"/>
    <w:p>
      <w:pPr>
        <w:pStyle w:val="Heading3"/>
      </w:pPr>
      <w:r>
        <w:t xml:space="preserve">5. Conducta en Asamblea (Marzo 2026)</w:t>
      </w:r>
    </w:p>
    <w:p>
      <w:pPr>
        <w:pStyle w:val="FirstParagraph"/>
      </w:pPr>
      <w:r>
        <w:t xml:space="preserve">Del Acta:</w:t>
      </w:r>
    </w:p>
    <w:p>
      <w:pPr>
        <w:pStyle w:val="BlockText"/>
      </w:pPr>
      <w:r>
        <w:t xml:space="preserve">“Interviene el señor Roberto Castillo, quien cuestiona la participación de Grupo ABI Soluciones en la asamblea… haciendo mención a la medida cautelar… Menciona un punto de orden para dar a conocer que hay</w:t>
      </w:r>
      <w:r>
        <w:t xml:space="preserve"> </w:t>
      </w:r>
      <w:r>
        <w:rPr>
          <w:b/>
          <w:bCs/>
        </w:rPr>
        <w:t xml:space="preserve">denuncias penales contra Catalina Castro</w:t>
      </w:r>
      <w:r>
        <w:t xml:space="preserve">, por lo que solicita por ética y moral, no deben permanecer en el desarrollo de la Asamblea.”</w:t>
      </w:r>
    </w:p>
    <w:p>
      <w:pPr>
        <w:pStyle w:val="FirstParagraph"/>
      </w:pPr>
      <w:r>
        <w:t xml:space="preserve">Intentaron excluir a la administración de su propia asamblea usando denuncias penales (que están siendo archivadas) como pretexto.</w:t>
      </w:r>
    </w:p>
    <w:p>
      <w:r>
        <w:pict>
          <v:rect style="width:0;height:1.5pt" o:hralign="center" o:hrstd="t" o:hr="t"/>
        </w:pict>
      </w:r>
    </w:p>
    <w:bookmarkEnd w:id="35"/>
    <w:bookmarkEnd w:id="36"/>
    <w:bookmarkStart w:id="37" w:name="X3df203b302ca3acf20a93fed273a57617b145e7"/>
    <w:p>
      <w:pPr>
        <w:pStyle w:val="Heading2"/>
      </w:pPr>
      <w:r>
        <w:t xml:space="preserve">Patrón de Conducta: Litigio como Estrategia de Evasión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Fecha</w:t>
            </w:r>
          </w:p>
        </w:tc>
        <w:tc>
          <w:tcPr/>
          <w:p>
            <w:pPr>
              <w:pStyle w:val="Compact"/>
            </w:pPr>
            <w:r>
              <w:t xml:space="preserve">Acción de SFERA</w:t>
            </w:r>
          </w:p>
        </w:tc>
        <w:tc>
          <w:tcPr/>
          <w:p>
            <w:pPr>
              <w:pStyle w:val="Compact"/>
            </w:pPr>
            <w:r>
              <w:t xml:space="preserve">¿Pagaron después?</w:t>
            </w:r>
          </w:p>
        </w:tc>
      </w:tr>
      <w:tr>
        <w:tc>
          <w:tcPr/>
          <w:p>
            <w:pPr>
              <w:pStyle w:val="Compact"/>
            </w:pPr>
            <w:r>
              <w:t xml:space="preserve">2024</w:t>
            </w:r>
          </w:p>
        </w:tc>
        <w:tc>
          <w:tcPr/>
          <w:p>
            <w:pPr>
              <w:pStyle w:val="Compact"/>
            </w:pPr>
            <w:r>
              <w:t xml:space="preserve">Deben cuotas bajo régimen vigente</w:t>
            </w:r>
          </w:p>
        </w:tc>
        <w:tc>
          <w:tcPr/>
          <w:p>
            <w:pPr>
              <w:pStyle w:val="Compact"/>
            </w:pPr>
            <w:r>
              <w:t xml:space="preserve">❌ NO</w:t>
            </w:r>
          </w:p>
        </w:tc>
      </w:tr>
      <w:tr>
        <w:tc>
          <w:tcPr/>
          <w:p>
            <w:pPr>
              <w:pStyle w:val="Compact"/>
            </w:pPr>
            <w:r>
              <w:t xml:space="preserve">Feb 2025</w:t>
            </w:r>
          </w:p>
        </w:tc>
        <w:tc>
          <w:tcPr/>
          <w:p>
            <w:pPr>
              <w:pStyle w:val="Compact"/>
            </w:pPr>
            <w:r>
              <w:t xml:space="preserve">Nueva asamblea cambia reglas</w:t>
            </w:r>
          </w:p>
        </w:tc>
        <w:tc>
          <w:tcPr/>
          <w:p>
            <w:pPr>
              <w:pStyle w:val="Compact"/>
            </w:pPr>
            <w:r>
              <w:t xml:space="preserve">❌ NO</w:t>
            </w:r>
          </w:p>
        </w:tc>
      </w:tr>
      <w:tr>
        <w:tc>
          <w:tcPr/>
          <w:p>
            <w:pPr>
              <w:pStyle w:val="Compact"/>
            </w:pPr>
            <w:r>
              <w:t xml:space="preserve">Mar 2025</w:t>
            </w:r>
          </w:p>
        </w:tc>
        <w:tc>
          <w:tcPr/>
          <w:p>
            <w:pPr>
              <w:pStyle w:val="Compact"/>
            </w:pPr>
            <w:r>
              <w:t xml:space="preserve">Demandan para anular Feb 2025</w:t>
            </w:r>
          </w:p>
        </w:tc>
        <w:tc>
          <w:tcPr/>
          <w:p>
            <w:pPr>
              <w:pStyle w:val="Compact"/>
            </w:pPr>
            <w:r>
              <w:t xml:space="preserve">❌ NO</w:t>
            </w:r>
          </w:p>
        </w:tc>
      </w:tr>
      <w:tr>
        <w:tc>
          <w:tcPr/>
          <w:p>
            <w:pPr>
              <w:pStyle w:val="Compact"/>
            </w:pPr>
            <w:r>
              <w:t xml:space="preserve">Oct 2025</w:t>
            </w:r>
          </w:p>
        </w:tc>
        <w:tc>
          <w:tcPr/>
          <w:p>
            <w:pPr>
              <w:pStyle w:val="Compact"/>
            </w:pPr>
            <w:r>
              <w:t xml:space="preserve">Obtienen cautelar, vuelve régimen 2024</w:t>
            </w:r>
          </w:p>
        </w:tc>
        <w:tc>
          <w:tcPr/>
          <w:p>
            <w:pPr>
              <w:pStyle w:val="Compact"/>
            </w:pPr>
            <w:r>
              <w:t xml:space="preserve">❌ NO</w:t>
            </w:r>
          </w:p>
        </w:tc>
      </w:tr>
      <w:tr>
        <w:tc>
          <w:tcPr/>
          <w:p>
            <w:pPr>
              <w:pStyle w:val="Compact"/>
            </w:pPr>
            <w:r>
              <w:t xml:space="preserve">2025</w:t>
            </w:r>
          </w:p>
        </w:tc>
        <w:tc>
          <w:tcPr/>
          <w:p>
            <w:pPr>
              <w:pStyle w:val="Compact"/>
            </w:pPr>
            <w:r>
              <w:t xml:space="preserve">Presentan 4 denuncias penales</w:t>
            </w:r>
          </w:p>
        </w:tc>
        <w:tc>
          <w:tcPr/>
          <w:p>
            <w:pPr>
              <w:pStyle w:val="Compact"/>
            </w:pPr>
            <w:r>
              <w:t xml:space="preserve">❌ NO</w:t>
            </w:r>
          </w:p>
        </w:tc>
      </w:tr>
      <w:tr>
        <w:tc>
          <w:tcPr/>
          <w:p>
            <w:pPr>
              <w:pStyle w:val="Compact"/>
            </w:pPr>
            <w:r>
              <w:t xml:space="preserve">Mar 2026</w:t>
            </w:r>
          </w:p>
        </w:tc>
        <w:tc>
          <w:tcPr/>
          <w:p>
            <w:pPr>
              <w:pStyle w:val="Compact"/>
            </w:pPr>
            <w:r>
              <w:t xml:space="preserve">Participan en nueva asamblea, pierden 83-17%</w:t>
            </w:r>
          </w:p>
        </w:tc>
        <w:tc>
          <w:tcPr/>
          <w:p>
            <w:pPr>
              <w:pStyle w:val="Compact"/>
            </w:pPr>
            <w:r>
              <w:t xml:space="preserve">❌ NO</w:t>
            </w:r>
          </w:p>
        </w:tc>
      </w:tr>
      <w:tr>
        <w:tc>
          <w:tcPr/>
          <w:p>
            <w:pPr>
              <w:pStyle w:val="Compact"/>
            </w:pPr>
            <w:r>
              <w:t xml:space="preserve">May 2026</w:t>
            </w:r>
          </w:p>
        </w:tc>
        <w:tc>
          <w:tcPr/>
          <w:p>
            <w:pPr>
              <w:pStyle w:val="Compact"/>
            </w:pPr>
            <w:r>
              <w:t xml:space="preserve">Demandan de nuevo para anular Mar 2026</w:t>
            </w:r>
          </w:p>
        </w:tc>
        <w:tc>
          <w:tcPr/>
          <w:p>
            <w:pPr>
              <w:pStyle w:val="Compact"/>
            </w:pPr>
            <w:r>
              <w:t xml:space="preserve">❌ NO</w:t>
            </w:r>
          </w:p>
        </w:tc>
      </w:tr>
    </w:tbl>
    <w:p>
      <w:pPr>
        <w:pStyle w:val="BodyText"/>
      </w:pPr>
      <w:r>
        <w:rPr>
          <w:b/>
          <w:bCs/>
        </w:rPr>
        <w:t xml:space="preserve">Su estrategia es transparente:</w:t>
      </w:r>
      <w:r>
        <w:t xml:space="preserve"> </w:t>
      </w:r>
      <w:r>
        <w:t xml:space="preserve">Litigar indefinidamente para nunca pagar cuotas, mientras disfrutan de los servicios del condominio sin costo.</w:t>
      </w:r>
    </w:p>
    <w:p>
      <w:r>
        <w:pict>
          <v:rect style="width:0;height:1.5pt" o:hralign="center" o:hrstd="t" o:hr="t"/>
        </w:pict>
      </w:r>
    </w:p>
    <w:bookmarkEnd w:id="37"/>
    <w:bookmarkEnd w:id="38"/>
    <w:bookmarkStart w:id="43" w:name="parte-iii-el-caso-anterior-2025"/>
    <w:p>
      <w:pPr>
        <w:pStyle w:val="Heading1"/>
      </w:pPr>
      <w:r>
        <w:t xml:space="preserve">PARTE III: EL CASO ANTERIOR (2025)</w:t>
      </w:r>
    </w:p>
    <w:bookmarkStart w:id="42" w:name="expediente-25-000060-2018-ci"/>
    <w:p>
      <w:pPr>
        <w:pStyle w:val="Heading2"/>
      </w:pPr>
      <w:r>
        <w:t xml:space="preserve">Expediente 25-000060-2018-CI</w:t>
      </w:r>
    </w:p>
    <w:bookmarkStart w:id="39" w:name="lo-que-sfera-quiere-que-el-tribunal-crea"/>
    <w:p>
      <w:pPr>
        <w:pStyle w:val="Heading3"/>
      </w:pPr>
      <w:r>
        <w:t xml:space="preserve">Lo que SFERA quiere que el tribunal crea:</w:t>
      </w:r>
    </w:p>
    <w:p>
      <w:pPr>
        <w:pStyle w:val="BlockText"/>
      </w:pPr>
      <w:r>
        <w:t xml:space="preserve">“Ya ganamos una vez. El tribunal nos dio la razón en 2025. Deben darnos la razón de nuevo.”</w:t>
      </w:r>
    </w:p>
    <w:bookmarkEnd w:id="39"/>
    <w:bookmarkStart w:id="40" w:name="la-realidad-3"/>
    <w:p>
      <w:pPr>
        <w:pStyle w:val="Heading3"/>
      </w:pPr>
      <w:r>
        <w:t xml:space="preserve">La realidad: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 que obtuvieron</w:t>
            </w:r>
          </w:p>
        </w:tc>
        <w:tc>
          <w:tcPr/>
          <w:p>
            <w:pPr>
              <w:pStyle w:val="Compact"/>
            </w:pPr>
            <w:r>
              <w:t xml:space="preserve">Lo que NO obtuvieron</w:t>
            </w:r>
          </w:p>
        </w:tc>
      </w:tr>
      <w:tr>
        <w:tc>
          <w:tcPr/>
          <w:p>
            <w:pPr>
              <w:pStyle w:val="Compact"/>
            </w:pPr>
            <w:r>
              <w:t xml:space="preserve">✅ Medidas cautelares</w:t>
            </w:r>
          </w:p>
        </w:tc>
        <w:tc>
          <w:tcPr/>
          <w:p>
            <w:pPr>
              <w:pStyle w:val="Compact"/>
            </w:pPr>
            <w:r>
              <w:t xml:space="preserve">❌ Sentencia definitiva</w:t>
            </w:r>
          </w:p>
        </w:tc>
      </w:tr>
      <w:tr>
        <w:tc>
          <w:tcPr/>
          <w:p>
            <w:pPr>
              <w:pStyle w:val="Compact"/>
            </w:pPr>
            <w:r>
              <w:t xml:space="preserve">✅ Suspensión TEMPORAL</w:t>
            </w:r>
          </w:p>
        </w:tc>
        <w:tc>
          <w:tcPr/>
          <w:p>
            <w:pPr>
              <w:pStyle w:val="Compact"/>
            </w:pPr>
            <w:r>
              <w:t xml:space="preserve">❌ Declaratoria de nulidad</w:t>
            </w:r>
          </w:p>
        </w:tc>
      </w:tr>
      <w:tr>
        <w:tc>
          <w:tcPr/>
          <w:p>
            <w:pPr>
              <w:pStyle w:val="Compact"/>
            </w:pPr>
            <w:r>
              <w:t xml:space="preserve">✅ Reversión a régimen 2024</w:t>
            </w:r>
          </w:p>
        </w:tc>
        <w:tc>
          <w:tcPr/>
          <w:p>
            <w:pPr>
              <w:pStyle w:val="Compact"/>
            </w:pPr>
            <w:r>
              <w:t xml:space="preserve">❌ Pronunciamiento sobre el fondo</w:t>
            </w:r>
          </w:p>
        </w:tc>
      </w:tr>
    </w:tbl>
    <w:p>
      <w:pPr>
        <w:pStyle w:val="BodyText"/>
      </w:pPr>
      <w:r>
        <w:rPr>
          <w:b/>
          <w:bCs/>
        </w:rPr>
        <w:t xml:space="preserve">El caso sigue PENDIENTE.</w:t>
      </w:r>
      <w:r>
        <w:t xml:space="preserve"> </w:t>
      </w:r>
      <w:r>
        <w:t xml:space="preserve">No hay sentencia. El tribunal NO ha decidido si la asamblea de febrero 2025 fue válida o inválida.</w:t>
      </w:r>
    </w:p>
    <w:p>
      <w:pPr>
        <w:pStyle w:val="BodyText"/>
      </w:pPr>
      <w:r>
        <w:t xml:space="preserve">Las medidas cautelares son</w:t>
      </w:r>
      <w:r>
        <w:t xml:space="preserve"> </w:t>
      </w:r>
      <w:r>
        <w:rPr>
          <w:b/>
          <w:bCs/>
        </w:rPr>
        <w:t xml:space="preserve">provisionales</w:t>
      </w:r>
      <w:r>
        <w:t xml:space="preserve"> </w:t>
      </w:r>
      <w:r>
        <w:t xml:space="preserve">— mantienen el status quo mientras se decide el caso. No constituyen victoria ni precedente.</w:t>
      </w:r>
    </w:p>
    <w:bookmarkEnd w:id="40"/>
    <w:bookmarkStart w:id="41" w:name="Xc930cc7e953b30a3644ebe76a6575d5c99c514e"/>
    <w:p>
      <w:pPr>
        <w:pStyle w:val="Heading3"/>
      </w:pPr>
      <w:r>
        <w:t xml:space="preserve">Lo que hicieron después de obtener la cautelar:</w:t>
      </w:r>
    </w:p>
    <w:p>
      <w:pPr>
        <w:pStyle w:val="FirstParagraph"/>
      </w:pPr>
      <w:r>
        <w:rPr>
          <w:b/>
          <w:bCs/>
        </w:rPr>
        <w:t xml:space="preserve">NADA.</w:t>
      </w:r>
      <w:r>
        <w:t xml:space="preserve"> </w:t>
      </w:r>
      <w:r>
        <w:t xml:space="preserve">No pagaron un solo colón bajo el régimen de 2024 que ellos mismos pidieron restablecer.</w:t>
      </w:r>
    </w:p>
    <w:p>
      <w:r>
        <w:pict>
          <v:rect style="width:0;height:1.5pt" o:hralign="center" o:hrstd="t" o:hr="t"/>
        </w:pict>
      </w:r>
    </w:p>
    <w:bookmarkEnd w:id="41"/>
    <w:bookmarkEnd w:id="42"/>
    <w:bookmarkEnd w:id="43"/>
    <w:bookmarkStart w:id="48" w:name="parte-iv-lo-que-realmente-quieren"/>
    <w:p>
      <w:pPr>
        <w:pStyle w:val="Heading1"/>
      </w:pPr>
      <w:r>
        <w:t xml:space="preserve">PARTE IV: LO QUE REALMENTE QUIEREN</w:t>
      </w:r>
    </w:p>
    <w:bookmarkStart w:id="47" w:name="análisis-de-motivaciones"/>
    <w:p>
      <w:pPr>
        <w:pStyle w:val="Heading2"/>
      </w:pPr>
      <w:r>
        <w:t xml:space="preserve">Análisis de Motivaciones</w:t>
      </w:r>
    </w:p>
    <w:bookmarkStart w:id="44" w:name="si-realmente-les-preocupara-la-justicia"/>
    <w:p>
      <w:pPr>
        <w:pStyle w:val="Heading3"/>
      </w:pPr>
      <w:r>
        <w:t xml:space="preserve">Si realmente les preocupara la</w:t>
      </w:r>
      <w:r>
        <w:t xml:space="preserve"> </w:t>
      </w:r>
      <w:r>
        <w:t xml:space="preserve">“justicia”</w:t>
      </w:r>
      <w:r>
        <w:t xml:space="preserve">:</w:t>
      </w:r>
    </w:p>
    <w:p>
      <w:pPr>
        <w:pStyle w:val="Compact"/>
        <w:numPr>
          <w:ilvl w:val="0"/>
          <w:numId w:val="1006"/>
        </w:numPr>
      </w:pPr>
      <w:r>
        <w:t xml:space="preserve">Habrían pagado bajo el régimen de 2024 (antes de cualquier cambio)</w:t>
      </w:r>
    </w:p>
    <w:p>
      <w:pPr>
        <w:pStyle w:val="Compact"/>
        <w:numPr>
          <w:ilvl w:val="0"/>
          <w:numId w:val="1006"/>
        </w:numPr>
      </w:pPr>
      <w:r>
        <w:t xml:space="preserve">Habrían pagado cuando se restableció el régimen de 2024 por cautelar</w:t>
      </w:r>
    </w:p>
    <w:p>
      <w:pPr>
        <w:pStyle w:val="Compact"/>
        <w:numPr>
          <w:ilvl w:val="0"/>
          <w:numId w:val="1006"/>
        </w:numPr>
      </w:pPr>
      <w:r>
        <w:t xml:space="preserve">Habrían propuesto su propia fórmula de cuotas en asamblea</w:t>
      </w:r>
    </w:p>
    <w:p>
      <w:pPr>
        <w:pStyle w:val="Compact"/>
        <w:numPr>
          <w:ilvl w:val="0"/>
          <w:numId w:val="1006"/>
        </w:numPr>
      </w:pPr>
      <w:r>
        <w:t xml:space="preserve">Habrían negociado de buena fe</w:t>
      </w:r>
    </w:p>
    <w:bookmarkEnd w:id="44"/>
    <w:bookmarkStart w:id="45" w:name="lo-que-realmente-hacen"/>
    <w:p>
      <w:pPr>
        <w:pStyle w:val="Heading3"/>
      </w:pPr>
      <w:r>
        <w:t xml:space="preserve">Lo que realmente hacen:</w:t>
      </w:r>
    </w:p>
    <w:p>
      <w:pPr>
        <w:pStyle w:val="Compact"/>
        <w:numPr>
          <w:ilvl w:val="0"/>
          <w:numId w:val="1007"/>
        </w:numPr>
      </w:pPr>
      <w:r>
        <w:t xml:space="preserve">No pagan bajo ningún régimen</w:t>
      </w:r>
    </w:p>
    <w:p>
      <w:pPr>
        <w:pStyle w:val="Compact"/>
        <w:numPr>
          <w:ilvl w:val="0"/>
          <w:numId w:val="1007"/>
        </w:numPr>
      </w:pPr>
      <w:r>
        <w:t xml:space="preserve">Litigan cada asamblea</w:t>
      </w:r>
    </w:p>
    <w:p>
      <w:pPr>
        <w:pStyle w:val="Compact"/>
        <w:numPr>
          <w:ilvl w:val="0"/>
          <w:numId w:val="1007"/>
        </w:numPr>
      </w:pPr>
      <w:r>
        <w:t xml:space="preserve">Presentan denuncias penales falsas</w:t>
      </w:r>
    </w:p>
    <w:p>
      <w:pPr>
        <w:pStyle w:val="Compact"/>
        <w:numPr>
          <w:ilvl w:val="0"/>
          <w:numId w:val="1007"/>
        </w:numPr>
      </w:pPr>
      <w:r>
        <w:t xml:space="preserve">Amenazan a terceros</w:t>
      </w:r>
    </w:p>
    <w:p>
      <w:pPr>
        <w:pStyle w:val="Compact"/>
        <w:numPr>
          <w:ilvl w:val="0"/>
          <w:numId w:val="1007"/>
        </w:numPr>
      </w:pPr>
      <w:r>
        <w:t xml:space="preserve">Violan la seguridad del condominio</w:t>
      </w:r>
    </w:p>
    <w:bookmarkEnd w:id="45"/>
    <w:bookmarkStart w:id="46" w:name="conclusión-evidente"/>
    <w:p>
      <w:pPr>
        <w:pStyle w:val="Heading3"/>
      </w:pPr>
      <w:r>
        <w:t xml:space="preserve">Conclusión evidente:</w:t>
      </w:r>
    </w:p>
    <w:p>
      <w:pPr>
        <w:pStyle w:val="FirstParagraph"/>
      </w:pPr>
      <w:r>
        <w:rPr>
          <w:b/>
          <w:bCs/>
        </w:rPr>
        <w:t xml:space="preserve">No quieren reglas justas. Quieren CERO reglas. Quieren servicios gratuitos indefinidamente.</w:t>
      </w:r>
    </w:p>
    <w:p>
      <w:pPr>
        <w:pStyle w:val="BodyText"/>
      </w:pPr>
      <w:r>
        <w:t xml:space="preserve">El litigio es su herramienta para:</w:t>
      </w:r>
      <w:r>
        <w:t xml:space="preserve"> </w:t>
      </w:r>
      <w:r>
        <w:t xml:space="preserve">1. Suspender cualquier posibilidad de cobro</w:t>
      </w:r>
      <w:r>
        <w:t xml:space="preserve"> </w:t>
      </w:r>
      <w:r>
        <w:t xml:space="preserve">2. Evitar cortes de servicio por impago</w:t>
      </w:r>
      <w:r>
        <w:t xml:space="preserve"> </w:t>
      </w:r>
      <w:r>
        <w:t xml:space="preserve">3. Continuar usando seguridad, mantenimiento, áreas comunes — gratis</w:t>
      </w:r>
      <w:r>
        <w:t xml:space="preserve"> </w:t>
      </w:r>
      <w:r>
        <w:t xml:space="preserve">4. Cansar a la administración hasta que desista</w:t>
      </w:r>
    </w:p>
    <w:p>
      <w:r>
        <w:pict>
          <v:rect style="width:0;height:1.5pt" o:hralign="center" o:hrstd="t" o:hr="t"/>
        </w:pict>
      </w:r>
    </w:p>
    <w:bookmarkEnd w:id="46"/>
    <w:bookmarkEnd w:id="47"/>
    <w:bookmarkEnd w:id="48"/>
    <w:bookmarkStart w:id="55" w:name="parte-v-resumen-de-defensas"/>
    <w:p>
      <w:pPr>
        <w:pStyle w:val="Heading1"/>
      </w:pPr>
      <w:r>
        <w:t xml:space="preserve">PARTE V: RESUMEN DE DEFENSAS</w:t>
      </w:r>
    </w:p>
    <w:bookmarkStart w:id="49" w:name="nulidad-de-notificación-defensa-procesal"/>
    <w:p>
      <w:pPr>
        <w:pStyle w:val="Heading2"/>
      </w:pPr>
      <w:r>
        <w:t xml:space="preserve">1. Nulidad de Notificación (Defensa Procesal)</w:t>
      </w:r>
    </w:p>
    <w:p>
      <w:pPr>
        <w:pStyle w:val="Compact"/>
        <w:numPr>
          <w:ilvl w:val="0"/>
          <w:numId w:val="1008"/>
        </w:numPr>
      </w:pPr>
      <w:r>
        <w:t xml:space="preserve">Notario arrojó papeles en mesa y se fue</w:t>
      </w:r>
    </w:p>
    <w:p>
      <w:pPr>
        <w:pStyle w:val="Compact"/>
        <w:numPr>
          <w:ilvl w:val="0"/>
          <w:numId w:val="1008"/>
        </w:numPr>
      </w:pPr>
      <w:r>
        <w:t xml:space="preserve">Angela no estaba presente</w:t>
      </w:r>
    </w:p>
    <w:p>
      <w:pPr>
        <w:pStyle w:val="Compact"/>
        <w:numPr>
          <w:ilvl w:val="0"/>
          <w:numId w:val="1008"/>
        </w:numPr>
      </w:pPr>
      <w:r>
        <w:t xml:space="preserve">Nadie recibió, nadie firmó</w:t>
      </w:r>
    </w:p>
    <w:p>
      <w:pPr>
        <w:pStyle w:val="Compact"/>
        <w:numPr>
          <w:ilvl w:val="0"/>
          <w:numId w:val="1008"/>
        </w:numPr>
      </w:pPr>
      <w:r>
        <w:t xml:space="preserve">3 testigos disponibles</w:t>
      </w:r>
    </w:p>
    <w:p>
      <w:pPr>
        <w:pStyle w:val="Compact"/>
        <w:numPr>
          <w:ilvl w:val="0"/>
          <w:numId w:val="1008"/>
        </w:numPr>
      </w:pPr>
      <w:r>
        <w:t xml:space="preserve">Plazo de 3 días nunca comenzó</w:t>
      </w:r>
    </w:p>
    <w:p>
      <w:pPr>
        <w:pStyle w:val="Compact"/>
        <w:numPr>
          <w:ilvl w:val="0"/>
          <w:numId w:val="1008"/>
        </w:numPr>
      </w:pPr>
      <w:r>
        <w:t xml:space="preserve">Solicitud del 21 de mayo es improcedente</w:t>
      </w:r>
    </w:p>
    <w:bookmarkEnd w:id="49"/>
    <w:bookmarkStart w:id="50" w:name="asamblea-válida-defensa-de-fondo"/>
    <w:p>
      <w:pPr>
        <w:pStyle w:val="Heading2"/>
      </w:pPr>
      <w:r>
        <w:t xml:space="preserve">2. Asamblea Válida (Defensa de Fondo)</w:t>
      </w:r>
    </w:p>
    <w:p>
      <w:pPr>
        <w:pStyle w:val="Compact"/>
        <w:numPr>
          <w:ilvl w:val="0"/>
          <w:numId w:val="1009"/>
        </w:numPr>
      </w:pPr>
      <w:r>
        <w:t xml:space="preserve">Convocatoria 18 días antes (ley requiere 7)</w:t>
      </w:r>
    </w:p>
    <w:p>
      <w:pPr>
        <w:pStyle w:val="Compact"/>
        <w:numPr>
          <w:ilvl w:val="0"/>
          <w:numId w:val="1009"/>
        </w:numPr>
      </w:pPr>
      <w:r>
        <w:t xml:space="preserve">Quórum 100%</w:t>
      </w:r>
    </w:p>
    <w:p>
      <w:pPr>
        <w:pStyle w:val="Compact"/>
        <w:numPr>
          <w:ilvl w:val="0"/>
          <w:numId w:val="1009"/>
        </w:numPr>
      </w:pPr>
      <w:r>
        <w:t xml:space="preserve">Votación 83.49% a favor</w:t>
      </w:r>
    </w:p>
    <w:p>
      <w:pPr>
        <w:pStyle w:val="Compact"/>
        <w:numPr>
          <w:ilvl w:val="0"/>
          <w:numId w:val="1009"/>
        </w:numPr>
      </w:pPr>
      <w:r>
        <w:t xml:space="preserve">Artículo 27 cumplido: 17.09% &gt; 16.80%</w:t>
      </w:r>
    </w:p>
    <w:p>
      <w:pPr>
        <w:pStyle w:val="Compact"/>
        <w:numPr>
          <w:ilvl w:val="0"/>
          <w:numId w:val="1009"/>
        </w:numPr>
      </w:pPr>
      <w:r>
        <w:t xml:space="preserve">Su propia prueba (Acta) lo demuestra</w:t>
      </w:r>
    </w:p>
    <w:bookmarkEnd w:id="50"/>
    <w:bookmarkStart w:id="51" w:name="doctrina-de-actos-propios"/>
    <w:p>
      <w:pPr>
        <w:pStyle w:val="Heading2"/>
      </w:pPr>
      <w:r>
        <w:t xml:space="preserve">3. Doctrina de Actos Propios</w:t>
      </w:r>
    </w:p>
    <w:p>
      <w:pPr>
        <w:pStyle w:val="Compact"/>
        <w:numPr>
          <w:ilvl w:val="0"/>
          <w:numId w:val="1010"/>
        </w:numPr>
      </w:pPr>
      <w:r>
        <w:t xml:space="preserve">Participaron plenamente en la asamblea</w:t>
      </w:r>
    </w:p>
    <w:p>
      <w:pPr>
        <w:pStyle w:val="Compact"/>
        <w:numPr>
          <w:ilvl w:val="0"/>
          <w:numId w:val="1010"/>
        </w:numPr>
      </w:pPr>
      <w:r>
        <w:t xml:space="preserve">Sus abogados debatieron cada punto</w:t>
      </w:r>
    </w:p>
    <w:p>
      <w:pPr>
        <w:pStyle w:val="Compact"/>
        <w:numPr>
          <w:ilvl w:val="0"/>
          <w:numId w:val="1010"/>
        </w:numPr>
      </w:pPr>
      <w:r>
        <w:t xml:space="preserve">Propusieron modificaciones — que fueron aceptadas</w:t>
      </w:r>
    </w:p>
    <w:p>
      <w:pPr>
        <w:pStyle w:val="Compact"/>
        <w:numPr>
          <w:ilvl w:val="0"/>
          <w:numId w:val="1010"/>
        </w:numPr>
      </w:pPr>
      <w:r>
        <w:t xml:space="preserve">Votaron (en contra)</w:t>
      </w:r>
    </w:p>
    <w:p>
      <w:pPr>
        <w:pStyle w:val="Compact"/>
        <w:numPr>
          <w:ilvl w:val="0"/>
          <w:numId w:val="1010"/>
        </w:numPr>
      </w:pPr>
      <w:r>
        <w:t xml:space="preserve">No pueden impugnar un proceso en el que participaron activamente</w:t>
      </w:r>
    </w:p>
    <w:bookmarkEnd w:id="51"/>
    <w:bookmarkStart w:id="52" w:name="no-hay-apariencia-de-buen-derecho"/>
    <w:p>
      <w:pPr>
        <w:pStyle w:val="Heading2"/>
      </w:pPr>
      <w:r>
        <w:t xml:space="preserve">4. No Hay Apariencia de Buen Derecho</w:t>
      </w:r>
    </w:p>
    <w:p>
      <w:pPr>
        <w:pStyle w:val="Compact"/>
        <w:numPr>
          <w:ilvl w:val="0"/>
          <w:numId w:val="1011"/>
        </w:numPr>
      </w:pPr>
      <w:r>
        <w:t xml:space="preserve">Artículo 27 SÍ se cumplió</w:t>
      </w:r>
    </w:p>
    <w:p>
      <w:pPr>
        <w:pStyle w:val="Compact"/>
        <w:numPr>
          <w:ilvl w:val="0"/>
          <w:numId w:val="1011"/>
        </w:numPr>
      </w:pPr>
      <w:r>
        <w:t xml:space="preserve">Todos los requisitos formales cumplidos</w:t>
      </w:r>
    </w:p>
    <w:p>
      <w:pPr>
        <w:pStyle w:val="Compact"/>
        <w:numPr>
          <w:ilvl w:val="0"/>
          <w:numId w:val="1011"/>
        </w:numPr>
      </w:pPr>
      <w:r>
        <w:t xml:space="preserve">Perdieron una votación democrática</w:t>
      </w:r>
    </w:p>
    <w:p>
      <w:pPr>
        <w:pStyle w:val="Compact"/>
        <w:numPr>
          <w:ilvl w:val="0"/>
          <w:numId w:val="1011"/>
        </w:numPr>
      </w:pPr>
      <w:r>
        <w:t xml:space="preserve">No hay vicio, hay derrota</w:t>
      </w:r>
    </w:p>
    <w:bookmarkEnd w:id="52"/>
    <w:bookmarkStart w:id="53" w:name="no-hay-peligro-en-la-demora"/>
    <w:p>
      <w:pPr>
        <w:pStyle w:val="Heading2"/>
      </w:pPr>
      <w:r>
        <w:t xml:space="preserve">5. No Hay Peligro en la Demora</w:t>
      </w:r>
    </w:p>
    <w:p>
      <w:pPr>
        <w:pStyle w:val="Compact"/>
        <w:numPr>
          <w:ilvl w:val="0"/>
          <w:numId w:val="1012"/>
        </w:numPr>
      </w:pPr>
      <w:r>
        <w:t xml:space="preserve">Juez ya rechazó la urgencia el 6 de mayo</w:t>
      </w:r>
    </w:p>
    <w:p>
      <w:pPr>
        <w:pStyle w:val="Compact"/>
        <w:numPr>
          <w:ilvl w:val="0"/>
          <w:numId w:val="1012"/>
        </w:numPr>
      </w:pPr>
      <w:r>
        <w:t xml:space="preserve">No hay cobro hipotecario iniciado</w:t>
      </w:r>
    </w:p>
    <w:p>
      <w:pPr>
        <w:pStyle w:val="Compact"/>
        <w:numPr>
          <w:ilvl w:val="0"/>
          <w:numId w:val="1012"/>
        </w:numPr>
      </w:pPr>
      <w:r>
        <w:t xml:space="preserve">La</w:t>
      </w:r>
      <w:r>
        <w:t xml:space="preserve"> </w:t>
      </w:r>
      <w:r>
        <w:t xml:space="preserve">“urgencia”</w:t>
      </w:r>
      <w:r>
        <w:t xml:space="preserve"> </w:t>
      </w:r>
      <w:r>
        <w:t xml:space="preserve">es fabricada</w:t>
      </w:r>
    </w:p>
    <w:p>
      <w:pPr>
        <w:pStyle w:val="Compact"/>
        <w:numPr>
          <w:ilvl w:val="0"/>
          <w:numId w:val="1012"/>
        </w:numPr>
      </w:pPr>
      <w:r>
        <w:t xml:space="preserve">El daño es auto-infligido por no pagar</w:t>
      </w:r>
    </w:p>
    <w:bookmarkEnd w:id="53"/>
    <w:bookmarkStart w:id="54" w:name="mala-fe-procesal"/>
    <w:p>
      <w:pPr>
        <w:pStyle w:val="Heading2"/>
      </w:pPr>
      <w:r>
        <w:t xml:space="preserve">6. Mala Fe Procesal</w:t>
      </w:r>
    </w:p>
    <w:p>
      <w:pPr>
        <w:pStyle w:val="Compact"/>
        <w:numPr>
          <w:ilvl w:val="0"/>
          <w:numId w:val="1013"/>
        </w:numPr>
      </w:pPr>
      <w:r>
        <w:t xml:space="preserve">No pagan bajo ningún régimen</w:t>
      </w:r>
    </w:p>
    <w:p>
      <w:pPr>
        <w:pStyle w:val="Compact"/>
        <w:numPr>
          <w:ilvl w:val="0"/>
          <w:numId w:val="1013"/>
        </w:numPr>
      </w:pPr>
      <w:r>
        <w:t xml:space="preserve">4 denuncias penales en archivo</w:t>
      </w:r>
    </w:p>
    <w:p>
      <w:pPr>
        <w:pStyle w:val="Compact"/>
        <w:numPr>
          <w:ilvl w:val="0"/>
          <w:numId w:val="1013"/>
        </w:numPr>
      </w:pPr>
      <w:r>
        <w:t xml:space="preserve">Patrón de litigio para evitar obligaciones</w:t>
      </w:r>
    </w:p>
    <w:p>
      <w:pPr>
        <w:pStyle w:val="Compact"/>
        <w:numPr>
          <w:ilvl w:val="0"/>
          <w:numId w:val="1013"/>
        </w:numPr>
      </w:pPr>
      <w:r>
        <w:t xml:space="preserve">Abuso del sistema judicial</w:t>
      </w:r>
    </w:p>
    <w:p>
      <w:r>
        <w:pict>
          <v:rect style="width:0;height:1.5pt" o:hralign="center" o:hrstd="t" o:hr="t"/>
        </w:pict>
      </w:r>
    </w:p>
    <w:bookmarkEnd w:id="54"/>
    <w:bookmarkEnd w:id="55"/>
    <w:bookmarkStart w:id="59" w:name="parte-vi-acciones-recomendadas"/>
    <w:p>
      <w:pPr>
        <w:pStyle w:val="Heading1"/>
      </w:pPr>
      <w:r>
        <w:t xml:space="preserve">PARTE VI: ACCIONES RECOMENDADAS</w:t>
      </w:r>
    </w:p>
    <w:bookmarkStart w:id="56" w:name="inmediatas"/>
    <w:p>
      <w:pPr>
        <w:pStyle w:val="Heading2"/>
      </w:pPr>
      <w:r>
        <w:t xml:space="preserve">Inmediatas</w:t>
      </w:r>
    </w:p>
    <w:p>
      <w:pPr>
        <w:pStyle w:val="Compact"/>
        <w:numPr>
          <w:ilvl w:val="0"/>
          <w:numId w:val="1014"/>
        </w:numPr>
      </w:pPr>
      <w:r>
        <w:rPr>
          <w:b/>
          <w:bCs/>
        </w:rPr>
        <w:t xml:space="preserve">Obtener declaraciones juradas</w:t>
      </w:r>
      <w:r>
        <w:t xml:space="preserve"> </w:t>
      </w:r>
      <w:r>
        <w:t xml:space="preserve">de los 3 testigos de la notificación fallida</w:t>
      </w:r>
    </w:p>
    <w:p>
      <w:pPr>
        <w:pStyle w:val="Compact"/>
        <w:numPr>
          <w:ilvl w:val="0"/>
          <w:numId w:val="1014"/>
        </w:numPr>
      </w:pPr>
      <w:r>
        <w:rPr>
          <w:b/>
          <w:bCs/>
        </w:rPr>
        <w:t xml:space="preserve">No presentar nada</w:t>
      </w:r>
      <w:r>
        <w:t xml:space="preserve"> </w:t>
      </w:r>
      <w:r>
        <w:t xml:space="preserve">hasta ser válidamente notificados (estrategia pasiva legítima)</w:t>
      </w:r>
    </w:p>
    <w:p>
      <w:pPr>
        <w:pStyle w:val="Compact"/>
        <w:numPr>
          <w:ilvl w:val="0"/>
          <w:numId w:val="1014"/>
        </w:numPr>
      </w:pPr>
      <w:r>
        <w:t xml:space="preserve">Alternativamente,</w:t>
      </w:r>
      <w:r>
        <w:t xml:space="preserve"> </w:t>
      </w:r>
      <w:r>
        <w:rPr>
          <w:b/>
          <w:bCs/>
        </w:rPr>
        <w:t xml:space="preserve">presentar oposición proactiva</w:t>
      </w:r>
      <w:r>
        <w:t xml:space="preserve"> </w:t>
      </w:r>
      <w:r>
        <w:t xml:space="preserve">alegando nulidad de notificación</w:t>
      </w:r>
    </w:p>
    <w:bookmarkEnd w:id="56"/>
    <w:bookmarkStart w:id="57" w:name="cuando-corresponda-responder-al-fondo"/>
    <w:p>
      <w:pPr>
        <w:pStyle w:val="Heading2"/>
      </w:pPr>
      <w:r>
        <w:t xml:space="preserve">Cuando corresponda responder al fondo</w:t>
      </w:r>
    </w:p>
    <w:p>
      <w:pPr>
        <w:pStyle w:val="Compact"/>
        <w:numPr>
          <w:ilvl w:val="0"/>
          <w:numId w:val="1015"/>
        </w:numPr>
      </w:pPr>
      <w:r>
        <w:t xml:space="preserve">Usar el documento de respuesta preparado</w:t>
      </w:r>
    </w:p>
    <w:p>
      <w:pPr>
        <w:pStyle w:val="Compact"/>
        <w:numPr>
          <w:ilvl w:val="0"/>
          <w:numId w:val="1015"/>
        </w:numPr>
      </w:pPr>
      <w:r>
        <w:t xml:space="preserve">Adjuntar prueba de morosidad (+$24,000)</w:t>
      </w:r>
    </w:p>
    <w:p>
      <w:pPr>
        <w:pStyle w:val="Compact"/>
        <w:numPr>
          <w:ilvl w:val="0"/>
          <w:numId w:val="1015"/>
        </w:numPr>
      </w:pPr>
      <w:r>
        <w:t xml:space="preserve">Adjuntar expedientes de denuncias archivadas</w:t>
      </w:r>
    </w:p>
    <w:p>
      <w:pPr>
        <w:pStyle w:val="Compact"/>
        <w:numPr>
          <w:ilvl w:val="0"/>
          <w:numId w:val="1015"/>
        </w:numPr>
      </w:pPr>
      <w:r>
        <w:t xml:space="preserve">Solicitar condena en costas por litigio temerario</w:t>
      </w:r>
    </w:p>
    <w:bookmarkEnd w:id="57"/>
    <w:bookmarkStart w:id="58" w:name="estratégicas"/>
    <w:p>
      <w:pPr>
        <w:pStyle w:val="Heading2"/>
      </w:pPr>
      <w:r>
        <w:t xml:space="preserve">Estratégicas</w:t>
      </w:r>
    </w:p>
    <w:p>
      <w:pPr>
        <w:pStyle w:val="Compact"/>
        <w:numPr>
          <w:ilvl w:val="0"/>
          <w:numId w:val="1016"/>
        </w:numPr>
      </w:pPr>
      <w:r>
        <w:t xml:space="preserve">Considerar</w:t>
      </w:r>
      <w:r>
        <w:t xml:space="preserve"> </w:t>
      </w:r>
      <w:r>
        <w:rPr>
          <w:b/>
          <w:bCs/>
        </w:rPr>
        <w:t xml:space="preserve">reconvención</w:t>
      </w:r>
      <w:r>
        <w:t xml:space="preserve"> </w:t>
      </w:r>
      <w:r>
        <w:t xml:space="preserve">por abuso del proceso</w:t>
      </w:r>
    </w:p>
    <w:p>
      <w:pPr>
        <w:pStyle w:val="Compact"/>
        <w:numPr>
          <w:ilvl w:val="0"/>
          <w:numId w:val="1016"/>
        </w:numPr>
      </w:pPr>
      <w:r>
        <w:t xml:space="preserve">Documentar todo para eventual</w:t>
      </w:r>
      <w:r>
        <w:t xml:space="preserve"> </w:t>
      </w:r>
      <w:r>
        <w:rPr>
          <w:b/>
          <w:bCs/>
        </w:rPr>
        <w:t xml:space="preserve">demanda por daños</w:t>
      </w:r>
    </w:p>
    <w:p>
      <w:pPr>
        <w:pStyle w:val="Compact"/>
        <w:numPr>
          <w:ilvl w:val="0"/>
          <w:numId w:val="1016"/>
        </w:numPr>
      </w:pPr>
      <w:r>
        <w:t xml:space="preserve">Solicitar al tribunal que tome nota del</w:t>
      </w:r>
      <w:r>
        <w:t xml:space="preserve"> </w:t>
      </w:r>
      <w:r>
        <w:rPr>
          <w:b/>
          <w:bCs/>
        </w:rPr>
        <w:t xml:space="preserve">patrón de conducta</w:t>
      </w:r>
    </w:p>
    <w:p>
      <w:r>
        <w:pict>
          <v:rect style="width:0;height:1.5pt" o:hralign="center" o:hrstd="t" o:hr="t"/>
        </w:pict>
      </w:r>
    </w:p>
    <w:bookmarkEnd w:id="58"/>
    <w:bookmarkEnd w:id="59"/>
    <w:bookmarkStart w:id="60" w:name="anexos-disponibles"/>
    <w:p>
      <w:pPr>
        <w:pStyle w:val="Heading1"/>
      </w:pPr>
      <w:r>
        <w:t xml:space="preserve">ANEXOS DISPONIBLES</w:t>
      </w:r>
    </w:p>
    <w:p>
      <w:pPr>
        <w:pStyle w:val="Compact"/>
        <w:numPr>
          <w:ilvl w:val="0"/>
          <w:numId w:val="1017"/>
        </w:numPr>
      </w:pPr>
      <w:r>
        <w:rPr>
          <w:rStyle w:val="VerbatimChar"/>
        </w:rPr>
        <w:t xml:space="preserve">oposicion-nulidad-notificacion.docx</w:t>
      </w:r>
      <w:r>
        <w:t xml:space="preserve"> </w:t>
      </w:r>
      <w:r>
        <w:t xml:space="preserve">— Escrito de nulidad</w:t>
      </w:r>
    </w:p>
    <w:p>
      <w:pPr>
        <w:pStyle w:val="Compact"/>
        <w:numPr>
          <w:ilvl w:val="0"/>
          <w:numId w:val="1017"/>
        </w:numPr>
      </w:pPr>
      <w:r>
        <w:rPr>
          <w:rStyle w:val="VerbatimChar"/>
        </w:rPr>
        <w:t xml:space="preserve">respuesta-medida-cautelar-completa.docx</w:t>
      </w:r>
      <w:r>
        <w:t xml:space="preserve"> </w:t>
      </w:r>
      <w:r>
        <w:t xml:space="preserve">— Respuesta al fondo</w:t>
      </w:r>
    </w:p>
    <w:p>
      <w:pPr>
        <w:pStyle w:val="Compact"/>
        <w:numPr>
          <w:ilvl w:val="0"/>
          <w:numId w:val="1017"/>
        </w:numPr>
      </w:pPr>
      <w:r>
        <w:rPr>
          <w:rStyle w:val="VerbatimChar"/>
        </w:rPr>
        <w:t xml:space="preserve">sfera-expediente-completo.pdf</w:t>
      </w:r>
      <w:r>
        <w:t xml:space="preserve"> </w:t>
      </w:r>
      <w:r>
        <w:t xml:space="preserve">— Expediente descargado del Poder Judicial</w:t>
      </w:r>
    </w:p>
    <w:p>
      <w:r>
        <w:pict>
          <v:rect style="width:0;height:1.5pt" o:hralign="center" o:hrstd="t" o:hr="t"/>
        </w:pict>
      </w:r>
    </w:p>
    <w:p>
      <w:pPr>
        <w:pStyle w:val="FirstParagraph"/>
      </w:pPr>
      <w:r>
        <w:rPr>
          <w:i/>
          <w:iCs/>
        </w:rPr>
        <w:t xml:space="preserve">Documento preparado el 22 de mayo de 2026</w:t>
      </w:r>
    </w:p>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2026-05-22T22:38:34Z</dcterms:created>
  <dcterms:modified xsi:type="dcterms:W3CDTF">2026-05-22T22:38:34Z</dcterms:modified>
</cp:coreProperties>
</file>

<file path=docProps/custom.xml><?xml version="1.0" encoding="utf-8"?>
<Properties xmlns="http://schemas.openxmlformats.org/officeDocument/2006/custom-properties" xmlns:vt="http://schemas.openxmlformats.org/officeDocument/2006/docPropsVTypes"/>
</file>