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2ce00a08fac613ced54c0b5c580eeb72b3c516"/>
    <w:p>
      <w:pPr>
        <w:pStyle w:val="Heading1"/>
      </w:pPr>
      <w:r>
        <w:t xml:space="preserve">Resumen de Conversación: Caso SFERA vs. Condominio Mar Azul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22 de mayo de 2026</w:t>
      </w:r>
      <w:r>
        <w:br/>
      </w:r>
      <w:r>
        <w:rPr>
          <w:b/>
          <w:bCs/>
        </w:rPr>
        <w:t xml:space="preserve">Participantes:</w:t>
      </w:r>
      <w:r>
        <w:t xml:space="preserve"> </w:t>
      </w:r>
      <w:r>
        <w:t xml:space="preserve">Marion Peri, equipo OpenClaw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Análisis del caso SFERA y estrategia de defensa</w:t>
      </w:r>
    </w:p>
    <w:p>
      <w:r>
        <w:pict>
          <v:rect style="width:0;height:1.5pt" o:hralign="center" o:hrstd="t" o:hr="t"/>
        </w:pict>
      </w:r>
    </w:p>
    <w:bookmarkEnd w:id="9"/>
    <w:bookmarkStart w:id="16" w:name="parte-1-análisis-del-expediente"/>
    <w:p>
      <w:pPr>
        <w:pStyle w:val="Heading1"/>
      </w:pPr>
      <w:r>
        <w:t xml:space="preserve">PARTE 1: ANÁLISIS DEL EXPEDIENTE</w:t>
      </w:r>
    </w:p>
    <w:bookmarkStart w:id="10" w:name="dos-casos-identificados"/>
    <w:p>
      <w:pPr>
        <w:pStyle w:val="Heading2"/>
      </w:pPr>
      <w:r>
        <w:t xml:space="preserve">Dos Casos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Expediente</w:t>
            </w:r>
          </w:p>
        </w:tc>
        <w:tc>
          <w:tcPr/>
          <w:p>
            <w:pPr>
              <w:pStyle w:val="Compact"/>
            </w:pPr>
            <w:r>
              <w:t xml:space="preserve">Asamblea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2025</w:t>
            </w:r>
          </w:p>
        </w:tc>
        <w:tc>
          <w:tcPr/>
          <w:p>
            <w:pPr>
              <w:pStyle w:val="Compact"/>
            </w:pPr>
            <w:r>
              <w:t xml:space="preserve">25-000060-2018-CI</w:t>
            </w:r>
          </w:p>
        </w:tc>
        <w:tc>
          <w:tcPr/>
          <w:p>
            <w:pPr>
              <w:pStyle w:val="Compact"/>
            </w:pPr>
            <w:r>
              <w:t xml:space="preserve">25 Feb 2025</w:t>
            </w:r>
          </w:p>
        </w:tc>
        <w:tc>
          <w:tcPr/>
          <w:p>
            <w:pPr>
              <w:pStyle w:val="Compact"/>
            </w:pPr>
            <w:r>
              <w:t xml:space="preserve">PENDIENTE — solo cautelar, NO sentencia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2026</w:t>
            </w:r>
          </w:p>
        </w:tc>
        <w:tc>
          <w:tcPr/>
          <w:p>
            <w:pPr>
              <w:pStyle w:val="Compact"/>
            </w:pPr>
            <w:r>
              <w:t xml:space="preserve">26-000076-1632-CI</w:t>
            </w:r>
          </w:p>
        </w:tc>
        <w:tc>
          <w:tcPr/>
          <w:p>
            <w:pPr>
              <w:pStyle w:val="Compact"/>
            </w:pPr>
            <w:r>
              <w:t xml:space="preserve">9 Mar 2026</w:t>
            </w:r>
          </w:p>
        </w:tc>
        <w:tc>
          <w:tcPr/>
          <w:p>
            <w:pPr>
              <w:pStyle w:val="Compact"/>
            </w:pPr>
            <w:r>
              <w:t xml:space="preserve">Activo — SFERA pidió otorgamiento automático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Punto crítico:</w:t>
      </w:r>
      <w:r>
        <w:t xml:space="preserve"> </w:t>
      </w:r>
      <w:r>
        <w:t xml:space="preserve">En el caso 2025, SFERA obtuvo medidas cautelares (suspensión temporal), pero NO hay sentencia definitiva. El caso sigue abierto. No</w:t>
      </w:r>
      <w:r>
        <w:t xml:space="preserve"> </w:t>
      </w:r>
      <w:r>
        <w:t xml:space="preserve">“ganaron”</w:t>
      </w:r>
      <w:r>
        <w:t xml:space="preserve"> </w:t>
      </w:r>
      <w:r>
        <w:t xml:space="preserve">nada.</w:t>
      </w:r>
    </w:p>
    <w:p>
      <w:r>
        <w:pict>
          <v:rect style="width:0;height:1.5pt" o:hralign="center" o:hrstd="t" o:hr="t"/>
        </w:pict>
      </w:r>
    </w:p>
    <w:bookmarkEnd w:id="10"/>
    <w:bookmarkStart w:id="15" w:name="X4b6651764a6ae361d8bb4d0e0e05cfe74a1004a"/>
    <w:p>
      <w:pPr>
        <w:pStyle w:val="Heading2"/>
      </w:pPr>
      <w:r>
        <w:t xml:space="preserve">Los 4 Argumentos de SFERA (y por qué fallan)</w:t>
      </w:r>
    </w:p>
    <w:bookmarkStart w:id="11" w:name="argumento-1-violación-del-artículo-27"/>
    <w:p>
      <w:pPr>
        <w:pStyle w:val="Heading3"/>
      </w:pPr>
      <w:r>
        <w:t xml:space="preserve">Argumento 1:</w:t>
      </w:r>
      <w:r>
        <w:t xml:space="preserve"> </w:t>
      </w:r>
      <w:r>
        <w:t xml:space="preserve">“Violación del Artículo 27”</w:t>
      </w:r>
    </w:p>
    <w:p>
      <w:pPr>
        <w:pStyle w:val="FirstParagraph"/>
      </w:pPr>
      <w:r>
        <w:rPr>
          <w:b/>
          <w:bCs/>
        </w:rPr>
        <w:t xml:space="preserve">SFERA dice:</w:t>
      </w:r>
      <w:r>
        <w:t xml:space="preserve"> </w:t>
      </w:r>
      <w:r>
        <w:t xml:space="preserve">La asamblea no cumplió el Art. 27 que requiere 50% de votos de filiales no-desarrollador.</w:t>
      </w:r>
    </w:p>
    <w:p>
      <w:pPr>
        <w:pStyle w:val="BodyText"/>
      </w:pPr>
      <w:r>
        <w:rPr>
          <w:b/>
          <w:bCs/>
        </w:rPr>
        <w:t xml:space="preserve">Realidad (de su propia prueba):</w:t>
      </w:r>
      <w:r>
        <w:t xml:space="preserve"> </w:t>
      </w:r>
      <w:r>
        <w:t xml:space="preserve">- Filiales no-desarrollador = 33.60% del condominio</w:t>
      </w:r>
      <w:r>
        <w:t xml:space="preserve"> </w:t>
      </w:r>
      <w:r>
        <w:t xml:space="preserve">- 50% requerido = 16.80%</w:t>
      </w:r>
      <w:r>
        <w:t xml:space="preserve"> </w:t>
      </w:r>
      <w:r>
        <w:t xml:space="preserve">- Votos a favor de no-desarrollador =</w:t>
      </w:r>
      <w:r>
        <w:t xml:space="preserve"> </w:t>
      </w:r>
      <w:r>
        <w:rPr>
          <w:b/>
          <w:bCs/>
        </w:rPr>
        <w:t xml:space="preserve">17.09%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17.09% &gt; 16.80% = REQUISITO CUMPLIDO</w:t>
      </w:r>
    </w:p>
    <w:bookmarkEnd w:id="11"/>
    <w:bookmarkStart w:id="12" w:name="Xaca2a38964db50f0693272b768e4d44b24f514b"/>
    <w:p>
      <w:pPr>
        <w:pStyle w:val="Heading3"/>
      </w:pPr>
      <w:r>
        <w:t xml:space="preserve">Argumento 2:</w:t>
      </w:r>
      <w:r>
        <w:t xml:space="preserve"> </w:t>
      </w:r>
      <w:r>
        <w:t xml:space="preserve">“Urgencia por cobro hipotecario”</w:t>
      </w:r>
    </w:p>
    <w:p>
      <w:pPr>
        <w:pStyle w:val="FirstParagraph"/>
      </w:pPr>
      <w:r>
        <w:rPr>
          <w:b/>
          <w:bCs/>
        </w:rPr>
        <w:t xml:space="preserve">SFERA dice:</w:t>
      </w:r>
      <w:r>
        <w:t xml:space="preserve"> </w:t>
      </w:r>
      <w:r>
        <w:t xml:space="preserve">Urgente porque nos pueden ejecutar hipoteca.</w:t>
      </w:r>
    </w:p>
    <w:p>
      <w:pPr>
        <w:pStyle w:val="BodyText"/>
      </w:pPr>
      <w:r>
        <w:rPr>
          <w:b/>
          <w:bCs/>
        </w:rPr>
        <w:t xml:space="preserve">Realidad:</w:t>
      </w:r>
      <w:r>
        <w:t xml:space="preserve"> </w:t>
      </w:r>
      <w:r>
        <w:t xml:space="preserve">- El juez ya rechazó la urgencia el 6 de mayo</w:t>
      </w:r>
      <w:r>
        <w:t xml:space="preserve"> </w:t>
      </w:r>
      <w:r>
        <w:t xml:space="preserve">- No hay demanda de cobro presentada</w:t>
      </w:r>
      <w:r>
        <w:t xml:space="preserve"> </w:t>
      </w:r>
      <w:r>
        <w:t xml:space="preserve">- No hay proceso de ejecución iniciado</w:t>
      </w:r>
    </w:p>
    <w:bookmarkEnd w:id="12"/>
    <w:bookmarkStart w:id="13" w:name="argumento-3-cuotas-injustas"/>
    <w:p>
      <w:pPr>
        <w:pStyle w:val="Heading3"/>
      </w:pPr>
      <w:r>
        <w:t xml:space="preserve">Argumento 3:</w:t>
      </w:r>
      <w:r>
        <w:t xml:space="preserve"> </w:t>
      </w:r>
      <w:r>
        <w:t xml:space="preserve">“Cuotas injustas”</w:t>
      </w:r>
    </w:p>
    <w:p>
      <w:pPr>
        <w:pStyle w:val="FirstParagraph"/>
      </w:pPr>
      <w:r>
        <w:rPr>
          <w:b/>
          <w:bCs/>
        </w:rPr>
        <w:t xml:space="preserve">SFERA dice:</w:t>
      </w:r>
      <w:r>
        <w:t xml:space="preserve"> </w:t>
      </w:r>
      <w:r>
        <w:t xml:space="preserve">El reglamento favorece al desarrollador.</w:t>
      </w:r>
    </w:p>
    <w:p>
      <w:pPr>
        <w:pStyle w:val="BodyText"/>
      </w:pPr>
      <w:r>
        <w:rPr>
          <w:b/>
          <w:bCs/>
        </w:rPr>
        <w:t xml:space="preserve">Realidad:</w:t>
      </w:r>
      <w:r>
        <w:t xml:space="preserve"> </w:t>
      </w:r>
      <w:r>
        <w:t xml:space="preserve">- Roberto Castillo (abogado SFERA) objetó la redacción en la asamblea</w:t>
      </w:r>
      <w:r>
        <w:t xml:space="preserve"> </w:t>
      </w:r>
      <w:r>
        <w:t xml:space="preserve">- La asamblea ACEPTÓ su objeción</w:t>
      </w:r>
      <w:r>
        <w:t xml:space="preserve"> </w:t>
      </w:r>
      <w:r>
        <w:t xml:space="preserve">- Se modificó el texto en tiempo real</w:t>
      </w:r>
      <w:r>
        <w:t xml:space="preserve"> </w:t>
      </w:r>
      <w:r>
        <w:t xml:space="preserve">- Aun así votaron en contra</w:t>
      </w:r>
    </w:p>
    <w:bookmarkEnd w:id="13"/>
    <w:bookmarkStart w:id="14" w:name="Xb08860f8121287af0c72814b497a4d368ae243c"/>
    <w:p>
      <w:pPr>
        <w:pStyle w:val="Heading3"/>
      </w:pPr>
      <w:r>
        <w:t xml:space="preserve">Argumento 4:</w:t>
      </w:r>
      <w:r>
        <w:t xml:space="preserve"> </w:t>
      </w:r>
      <w:r>
        <w:t xml:space="preserve">“No oposición = aceptación automática”</w:t>
      </w:r>
    </w:p>
    <w:p>
      <w:pPr>
        <w:pStyle w:val="FirstParagraph"/>
      </w:pPr>
      <w:r>
        <w:rPr>
          <w:b/>
          <w:bCs/>
        </w:rPr>
        <w:t xml:space="preserve">SFERA dice:</w:t>
      </w:r>
      <w:r>
        <w:t xml:space="preserve"> </w:t>
      </w:r>
      <w:r>
        <w:t xml:space="preserve">Notificamos el 17 de mayo, no respondieron en 3 días, ganamos automáticamente bajo Art. 96 CPC.</w:t>
      </w:r>
    </w:p>
    <w:p>
      <w:pPr>
        <w:pStyle w:val="BodyText"/>
      </w:pPr>
      <w:r>
        <w:rPr>
          <w:b/>
          <w:bCs/>
        </w:rPr>
        <w:t xml:space="preserve">Realidad:</w:t>
      </w:r>
      <w:r>
        <w:t xml:space="preserve"> </w:t>
      </w:r>
      <w:r>
        <w:t xml:space="preserve">La notificación fue NULA (ver abajo).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parte-2-la-notificación-nula"/>
    <w:p>
      <w:pPr>
        <w:pStyle w:val="Heading1"/>
      </w:pPr>
      <w:r>
        <w:t xml:space="preserve">PARTE 2: LA NOTIFICACIÓN NULA</w:t>
      </w:r>
    </w:p>
    <w:bookmarkStart w:id="17" w:name="hechos-del-17-de-mayo-2026"/>
    <w:p>
      <w:pPr>
        <w:pStyle w:val="Heading2"/>
      </w:pPr>
      <w:r>
        <w:t xml:space="preserve">Hechos del 17 de Mayo 2026</w:t>
      </w:r>
    </w:p>
    <w:p>
      <w:pPr>
        <w:pStyle w:val="Compact"/>
        <w:numPr>
          <w:ilvl w:val="0"/>
          <w:numId w:val="1001"/>
        </w:numPr>
      </w:pPr>
      <w:r>
        <w:t xml:space="preserve">Notario Diego Oporto Mejía llegó a La Luna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Angela Vaila Fraser Russel (representante legal) NO estaba</w:t>
      </w:r>
    </w:p>
    <w:p>
      <w:pPr>
        <w:pStyle w:val="Compact"/>
        <w:numPr>
          <w:ilvl w:val="0"/>
          <w:numId w:val="1001"/>
        </w:numPr>
      </w:pPr>
      <w:r>
        <w:t xml:space="preserve">Trabajadores informaron que Angela no estaba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notario se enojó, TIRÓ los papeles en una mesa y se fue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Nadie recibió</w:t>
      </w:r>
      <w:r>
        <w:t xml:space="preserve"> </w:t>
      </w:r>
      <w:r>
        <w:t xml:space="preserve">los documentos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Nadie firmó</w:t>
      </w:r>
      <w:r>
        <w:t xml:space="preserve"> </w:t>
      </w:r>
      <w:r>
        <w:t xml:space="preserve">nada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testigos</w:t>
      </w:r>
      <w:r>
        <w:t xml:space="preserve"> </w:t>
      </w:r>
      <w:r>
        <w:t xml:space="preserve">presenciaron todo</w:t>
      </w:r>
    </w:p>
    <w:bookmarkEnd w:id="17"/>
    <w:bookmarkStart w:id="18" w:name="ley-de-notificaciones-judiciales-n-8687"/>
    <w:p>
      <w:pPr>
        <w:pStyle w:val="Heading2"/>
      </w:pPr>
      <w:r>
        <w:t xml:space="preserve">Ley de Notificaciones Judiciales N° 8687</w:t>
      </w:r>
    </w:p>
    <w:p>
      <w:pPr>
        <w:pStyle w:val="Compact"/>
        <w:numPr>
          <w:ilvl w:val="0"/>
          <w:numId w:val="1002"/>
        </w:numPr>
      </w:pPr>
      <w:r>
        <w:t xml:space="preserve">Art. 29: Requiere entrega efectiva</w:t>
      </w:r>
    </w:p>
    <w:p>
      <w:pPr>
        <w:pStyle w:val="Compact"/>
        <w:numPr>
          <w:ilvl w:val="0"/>
          <w:numId w:val="1002"/>
        </w:numPr>
      </w:pPr>
      <w:r>
        <w:t xml:space="preserve">Art. 31: Para personas jurídicas, al representante legal o persona autorizada</w:t>
      </w:r>
    </w:p>
    <w:p>
      <w:pPr>
        <w:pStyle w:val="Compact"/>
        <w:numPr>
          <w:ilvl w:val="0"/>
          <w:numId w:val="1002"/>
        </w:numPr>
      </w:pPr>
      <w:r>
        <w:t xml:space="preserve">Art. 33: Debe haber firma del receptor</w:t>
      </w:r>
    </w:p>
    <w:p>
      <w:pPr>
        <w:pStyle w:val="FirstParagraph"/>
      </w:pPr>
      <w:r>
        <w:rPr>
          <w:b/>
          <w:bCs/>
        </w:rPr>
        <w:t xml:space="preserve">Arrojar papeles en una mesa NO es notificación válida.</w:t>
      </w:r>
    </w:p>
    <w:bookmarkEnd w:id="18"/>
    <w:bookmarkStart w:id="19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3"/>
        </w:numPr>
      </w:pPr>
      <w:r>
        <w:t xml:space="preserve">❌ Notificación es NULA</w:t>
      </w:r>
    </w:p>
    <w:p>
      <w:pPr>
        <w:pStyle w:val="Compact"/>
        <w:numPr>
          <w:ilvl w:val="0"/>
          <w:numId w:val="1003"/>
        </w:numPr>
      </w:pPr>
      <w:r>
        <w:t xml:space="preserve">❌ Plazo de 3 días nunca comenzó</w:t>
      </w:r>
    </w:p>
    <w:p>
      <w:pPr>
        <w:pStyle w:val="Compact"/>
        <w:numPr>
          <w:ilvl w:val="0"/>
          <w:numId w:val="1003"/>
        </w:numPr>
      </w:pPr>
      <w:r>
        <w:t xml:space="preserve">❌ Solicitud del 21 de mayo es improcedente</w:t>
      </w:r>
    </w:p>
    <w:p>
      <w:pPr>
        <w:pStyle w:val="Compact"/>
        <w:numPr>
          <w:ilvl w:val="0"/>
          <w:numId w:val="1003"/>
        </w:numPr>
      </w:pPr>
      <w:r>
        <w:t xml:space="preserve">✅ Marion no tiene obligación de responder hasta ser notificado válidamente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arte-3-quiénes-son-estos-residentes"/>
    <w:p>
      <w:pPr>
        <w:pStyle w:val="Heading1"/>
      </w:pPr>
      <w:r>
        <w:t xml:space="preserve">PARTE 3: QUIÉNES SON ESTOS</w:t>
      </w:r>
      <w:r>
        <w:t xml:space="preserve"> </w:t>
      </w:r>
      <w:r>
        <w:t xml:space="preserve">“RESIDENTES”</w:t>
      </w:r>
    </w:p>
    <w:bookmarkStart w:id="21" w:name="las-4-sociedades-actoras"/>
    <w:p>
      <w:pPr>
        <w:pStyle w:val="Heading2"/>
      </w:pPr>
      <w:r>
        <w:t xml:space="preserve">Las 4 Sociedades Actoras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Sociedad</w:t>
            </w:r>
          </w:p>
        </w:tc>
        <w:tc>
          <w:tcPr/>
          <w:p>
            <w:pPr>
              <w:pStyle w:val="Compact"/>
            </w:pPr>
            <w:r>
              <w:t xml:space="preserve">Filial</w:t>
            </w:r>
          </w:p>
        </w:tc>
        <w:tc>
          <w:tcPr/>
          <w:p>
            <w:pPr>
              <w:pStyle w:val="Compact"/>
            </w:pPr>
            <w:r>
              <w:t xml:space="preserve">%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Propiedades Terrazas del Arco Iris</w:t>
            </w:r>
          </w:p>
        </w:tc>
        <w:tc>
          <w:tcPr/>
          <w:p>
            <w:pPr>
              <w:pStyle w:val="Compact"/>
            </w:pPr>
            <w:r>
              <w:t xml:space="preserve">FF01</w:t>
            </w:r>
          </w:p>
        </w:tc>
        <w:tc>
          <w:tcPr/>
          <w:p>
            <w:pPr>
              <w:pStyle w:val="Compact"/>
            </w:pPr>
            <w:r>
              <w:t xml:space="preserve">4.67%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Gratum Nosara SRL</w:t>
            </w:r>
          </w:p>
        </w:tc>
        <w:tc>
          <w:tcPr/>
          <w:p>
            <w:pPr>
              <w:pStyle w:val="Compact"/>
            </w:pPr>
            <w:r>
              <w:t xml:space="preserve">FF04</w:t>
            </w:r>
          </w:p>
        </w:tc>
        <w:tc>
          <w:tcPr/>
          <w:p>
            <w:pPr>
              <w:pStyle w:val="Compact"/>
            </w:pPr>
            <w:r>
              <w:t xml:space="preserve">2.71%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Rancho Verde Riabov SRL</w:t>
            </w:r>
          </w:p>
        </w:tc>
        <w:tc>
          <w:tcPr/>
          <w:p>
            <w:pPr>
              <w:pStyle w:val="Compact"/>
            </w:pPr>
            <w:r>
              <w:t xml:space="preserve">FF20</w:t>
            </w:r>
          </w:p>
        </w:tc>
        <w:tc>
          <w:tcPr/>
          <w:p>
            <w:pPr>
              <w:pStyle w:val="Compact"/>
            </w:pPr>
            <w:r>
              <w:t xml:space="preserve">2.58%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Rancho Azul Guzmán Ltda.</w:t>
            </w:r>
          </w:p>
        </w:tc>
        <w:tc>
          <w:tcPr/>
          <w:p>
            <w:pPr>
              <w:pStyle w:val="Compact"/>
            </w:pPr>
            <w:r>
              <w:t xml:space="preserve">FF32</w:t>
            </w:r>
          </w:p>
        </w:tc>
        <w:tc>
          <w:tcPr/>
          <w:p>
            <w:pPr>
              <w:pStyle w:val="Compact"/>
            </w:pPr>
            <w:r>
              <w:t xml:space="preserve">6.55%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16.51%</w:t>
            </w:r>
          </w:p>
        </w:tc>
      </w:tr>
    </w:tbl>
    <w:bookmarkEnd w:id="21"/>
    <w:bookmarkStart w:id="22" w:name="historial-de-pago-cero"/>
    <w:p>
      <w:pPr>
        <w:pStyle w:val="Heading2"/>
      </w:pPr>
      <w:r>
        <w:t xml:space="preserve">Historial de Pago: CERO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Régimen</w:t>
            </w:r>
          </w:p>
        </w:tc>
        <w:tc>
          <w:tcPr/>
          <w:p>
            <w:pPr>
              <w:pStyle w:val="Compact"/>
            </w:pPr>
            <w:r>
              <w:t xml:space="preserve">¿Pagaron?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Presupuesto 2024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Feb-Oct 2025</w:t>
            </w:r>
          </w:p>
        </w:tc>
        <w:tc>
          <w:tcPr/>
          <w:p>
            <w:pPr>
              <w:pStyle w:val="Compact"/>
            </w:pPr>
            <w:r>
              <w:t xml:space="preserve">Acuerdos Feb 2025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2025-Mar 2026</w:t>
            </w:r>
          </w:p>
        </w:tc>
        <w:tc>
          <w:tcPr/>
          <w:p>
            <w:pPr>
              <w:pStyle w:val="Compact"/>
            </w:pPr>
            <w:r>
              <w:t xml:space="preserve">Revertido a 2024 por cautelar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2026-hoy</w:t>
            </w:r>
          </w:p>
        </w:tc>
        <w:tc>
          <w:tcPr/>
          <w:p>
            <w:pPr>
              <w:pStyle w:val="Compact"/>
            </w:pPr>
            <w:r>
              <w:t xml:space="preserve">Acuerdos Mar 2026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Deuda combinada: &gt;$24,000</w:t>
      </w:r>
    </w:p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No han pagado bajo NINGÚN régimen. Su problema no es el reglamento — es pagar.</w:t>
      </w:r>
    </w:p>
    <w:bookmarkEnd w:id="22"/>
    <w:bookmarkStart w:id="23" w:name="otras-conductas"/>
    <w:p>
      <w:pPr>
        <w:pStyle w:val="Heading2"/>
      </w:pPr>
      <w:r>
        <w:t xml:space="preserve">Otras Conductas</w:t>
      </w:r>
    </w:p>
    <w:p>
      <w:pPr>
        <w:pStyle w:val="Compact"/>
        <w:numPr>
          <w:ilvl w:val="0"/>
          <w:numId w:val="1004"/>
        </w:numPr>
      </w:pPr>
      <w:r>
        <w:t xml:space="preserve">4 denuncias penales → TODAS en proceso de archivo</w:t>
      </w:r>
    </w:p>
    <w:p>
      <w:pPr>
        <w:pStyle w:val="Compact"/>
        <w:numPr>
          <w:ilvl w:val="0"/>
          <w:numId w:val="1004"/>
        </w:numPr>
      </w:pPr>
      <w:r>
        <w:t xml:space="preserve">Ingreso forzado al condominio (Ago 2025)</w:t>
      </w:r>
    </w:p>
    <w:p>
      <w:pPr>
        <w:pStyle w:val="Compact"/>
        <w:numPr>
          <w:ilvl w:val="0"/>
          <w:numId w:val="1004"/>
        </w:numPr>
      </w:pPr>
      <w:r>
        <w:t xml:space="preserve">Instalación de cámaras no autorizadas</w:t>
      </w:r>
    </w:p>
    <w:p>
      <w:pPr>
        <w:pStyle w:val="Compact"/>
        <w:numPr>
          <w:ilvl w:val="0"/>
          <w:numId w:val="1004"/>
        </w:numPr>
      </w:pPr>
      <w:r>
        <w:t xml:space="preserve">Amenazas de SFERA a arquitecta por error de identidad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rte-4-estrategia-de-defensa"/>
    <w:p>
      <w:pPr>
        <w:pStyle w:val="Heading1"/>
      </w:pPr>
      <w:r>
        <w:t xml:space="preserve">PARTE 4: ESTRATEGIA DE DEFENSA</w:t>
      </w:r>
    </w:p>
    <w:bookmarkStart w:id="25" w:name="defensa-1-nulidad-de-notificación"/>
    <w:p>
      <w:pPr>
        <w:pStyle w:val="Heading2"/>
      </w:pPr>
      <w:r>
        <w:t xml:space="preserve">Defensa #1: Nulidad de Notificación</w:t>
      </w:r>
    </w:p>
    <w:p>
      <w:pPr>
        <w:pStyle w:val="Compact"/>
        <w:numPr>
          <w:ilvl w:val="0"/>
          <w:numId w:val="1005"/>
        </w:numPr>
      </w:pPr>
      <w:r>
        <w:t xml:space="preserve">3 testigos disponibles</w:t>
      </w:r>
    </w:p>
    <w:p>
      <w:pPr>
        <w:pStyle w:val="Compact"/>
        <w:numPr>
          <w:ilvl w:val="0"/>
          <w:numId w:val="1005"/>
        </w:numPr>
      </w:pPr>
      <w:r>
        <w:t xml:space="preserve">Necesitan declaraciones juradas</w:t>
      </w:r>
    </w:p>
    <w:p>
      <w:pPr>
        <w:pStyle w:val="Compact"/>
        <w:numPr>
          <w:ilvl w:val="0"/>
          <w:numId w:val="1005"/>
        </w:numPr>
      </w:pPr>
      <w:r>
        <w:t xml:space="preserve">Edwin Mora iniciará proceso de impugnación</w:t>
      </w:r>
    </w:p>
    <w:bookmarkEnd w:id="25"/>
    <w:bookmarkStart w:id="26" w:name="defensa-2-asamblea-válida"/>
    <w:p>
      <w:pPr>
        <w:pStyle w:val="Heading2"/>
      </w:pPr>
      <w:r>
        <w:t xml:space="preserve">Defensa #2: Asamblea Válida</w:t>
      </w:r>
    </w:p>
    <w:p>
      <w:pPr>
        <w:pStyle w:val="Compact"/>
        <w:numPr>
          <w:ilvl w:val="0"/>
          <w:numId w:val="1006"/>
        </w:numPr>
      </w:pPr>
      <w:r>
        <w:t xml:space="preserve">Convocatoria 18 días antes (ley requiere 7)</w:t>
      </w:r>
    </w:p>
    <w:p>
      <w:pPr>
        <w:pStyle w:val="Compact"/>
        <w:numPr>
          <w:ilvl w:val="0"/>
          <w:numId w:val="1006"/>
        </w:numPr>
      </w:pPr>
      <w:r>
        <w:t xml:space="preserve">Quórum 100%</w:t>
      </w:r>
    </w:p>
    <w:p>
      <w:pPr>
        <w:pStyle w:val="Compact"/>
        <w:numPr>
          <w:ilvl w:val="0"/>
          <w:numId w:val="1006"/>
        </w:numPr>
      </w:pPr>
      <w:r>
        <w:t xml:space="preserve">Votación 83.49% a favor</w:t>
      </w:r>
    </w:p>
    <w:p>
      <w:pPr>
        <w:pStyle w:val="Compact"/>
        <w:numPr>
          <w:ilvl w:val="0"/>
          <w:numId w:val="1006"/>
        </w:numPr>
      </w:pPr>
      <w:r>
        <w:t xml:space="preserve">Art. 27 cumplido matemáticamente</w:t>
      </w:r>
    </w:p>
    <w:bookmarkEnd w:id="26"/>
    <w:bookmarkStart w:id="27" w:name="defensa-3-doctrina-de-actos-propios"/>
    <w:p>
      <w:pPr>
        <w:pStyle w:val="Heading2"/>
      </w:pPr>
      <w:r>
        <w:t xml:space="preserve">Defensa #3: Doctrina de Actos Propios</w:t>
      </w:r>
    </w:p>
    <w:p>
      <w:pPr>
        <w:pStyle w:val="Compact"/>
        <w:numPr>
          <w:ilvl w:val="0"/>
          <w:numId w:val="1007"/>
        </w:numPr>
      </w:pPr>
      <w:r>
        <w:t xml:space="preserve">Participaron en la asamblea</w:t>
      </w:r>
    </w:p>
    <w:p>
      <w:pPr>
        <w:pStyle w:val="Compact"/>
        <w:numPr>
          <w:ilvl w:val="0"/>
          <w:numId w:val="1007"/>
        </w:numPr>
      </w:pPr>
      <w:r>
        <w:t xml:space="preserve">Debatieron, propusieron cambios</w:t>
      </w:r>
    </w:p>
    <w:p>
      <w:pPr>
        <w:pStyle w:val="Compact"/>
        <w:numPr>
          <w:ilvl w:val="0"/>
          <w:numId w:val="1007"/>
        </w:numPr>
      </w:pPr>
      <w:r>
        <w:t xml:space="preserve">Sus cambios fueron aceptados</w:t>
      </w:r>
    </w:p>
    <w:p>
      <w:pPr>
        <w:pStyle w:val="Compact"/>
        <w:numPr>
          <w:ilvl w:val="0"/>
          <w:numId w:val="1007"/>
        </w:numPr>
      </w:pPr>
      <w:r>
        <w:t xml:space="preserve">Votaron</w:t>
      </w:r>
    </w:p>
    <w:p>
      <w:pPr>
        <w:pStyle w:val="Compact"/>
        <w:numPr>
          <w:ilvl w:val="0"/>
          <w:numId w:val="1007"/>
        </w:numPr>
      </w:pPr>
      <w:r>
        <w:t xml:space="preserve">No pueden impugnar proceso en que participaron</w:t>
      </w:r>
    </w:p>
    <w:bookmarkEnd w:id="27"/>
    <w:bookmarkStart w:id="28" w:name="defensa-4-mala-fe-abuso-del-proceso"/>
    <w:p>
      <w:pPr>
        <w:pStyle w:val="Heading2"/>
      </w:pPr>
      <w:r>
        <w:t xml:space="preserve">Defensa #4: Mala Fe / Abuso del Proceso</w:t>
      </w:r>
    </w:p>
    <w:p>
      <w:pPr>
        <w:pStyle w:val="Compact"/>
        <w:numPr>
          <w:ilvl w:val="0"/>
          <w:numId w:val="1008"/>
        </w:numPr>
      </w:pPr>
      <w:r>
        <w:t xml:space="preserve">No pagan bajo ningún régimen</w:t>
      </w:r>
    </w:p>
    <w:p>
      <w:pPr>
        <w:pStyle w:val="Compact"/>
        <w:numPr>
          <w:ilvl w:val="0"/>
          <w:numId w:val="1008"/>
        </w:numPr>
      </w:pPr>
      <w:r>
        <w:t xml:space="preserve">Litigan para evitar obligaciones</w:t>
      </w:r>
    </w:p>
    <w:p>
      <w:pPr>
        <w:pStyle w:val="Compact"/>
        <w:numPr>
          <w:ilvl w:val="0"/>
          <w:numId w:val="1008"/>
        </w:numPr>
      </w:pPr>
      <w:r>
        <w:t xml:space="preserve">4 denuncias falsas archivadas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arte-5-insight-de-edwin-mora"/>
    <w:p>
      <w:pPr>
        <w:pStyle w:val="Heading1"/>
      </w:pPr>
      <w:r>
        <w:t xml:space="preserve">PARTE 5: INSIGHT DE EDWIN MORA</w:t>
      </w:r>
    </w:p>
    <w:bookmarkStart w:id="30" w:name="sfera-no-busca-anular-busca-congelar"/>
    <w:p>
      <w:pPr>
        <w:pStyle w:val="Heading2"/>
      </w:pPr>
      <w:r>
        <w:t xml:space="preserve">SFERA No Busca Anular — Busca Congelar</w:t>
      </w:r>
    </w:p>
    <w:p>
      <w:pPr>
        <w:pStyle w:val="FirstParagraph"/>
      </w:pPr>
      <w:r>
        <w:rPr>
          <w:b/>
          <w:bCs/>
        </w:rPr>
        <w:t xml:space="preserve">Lo que SFERA pidió:</w:t>
      </w:r>
      <w:r>
        <w:t xml:space="preserve"> </w:t>
      </w:r>
      <w:r>
        <w:t xml:space="preserve">Medida cautelar (suspensión temporal)</w:t>
      </w:r>
    </w:p>
    <w:p>
      <w:pPr>
        <w:pStyle w:val="BodyText"/>
      </w:pPr>
      <w:r>
        <w:rPr>
          <w:b/>
          <w:bCs/>
        </w:rPr>
        <w:t xml:space="preserve">Lo que NO pidió:</w:t>
      </w:r>
      <w:r>
        <w:t xml:space="preserve"> </w:t>
      </w:r>
      <w:r>
        <w:t xml:space="preserve">Demanda de nulidad (juicio sobre el fondo)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 Cautelar</w:t>
            </w:r>
          </w:p>
        </w:tc>
        <w:tc>
          <w:tcPr/>
          <w:p>
            <w:pPr>
              <w:pStyle w:val="Compact"/>
            </w:pPr>
            <w:r>
              <w:t xml:space="preserve">Demanda de Nulidad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Congela temporalmente</w:t>
            </w:r>
          </w:p>
        </w:tc>
        <w:tc>
          <w:tcPr/>
          <w:p>
            <w:pPr>
              <w:pStyle w:val="Compact"/>
            </w:pPr>
            <w:r>
              <w:t xml:space="preserve">Decide permanentemente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juicio</w:t>
            </w:r>
          </w:p>
        </w:tc>
        <w:tc>
          <w:tcPr/>
          <w:p>
            <w:pPr>
              <w:pStyle w:val="Compact"/>
            </w:pPr>
            <w:r>
              <w:t xml:space="preserve">Juicio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mantiene status quo</w:t>
            </w:r>
          </w:p>
        </w:tc>
        <w:tc>
          <w:tcPr/>
          <w:p>
            <w:pPr>
              <w:pStyle w:val="Compact"/>
            </w:pPr>
            <w:r>
              <w:t xml:space="preserve">Sentencia final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Su estrategia:</w:t>
      </w:r>
      <w:r>
        <w:t xml:space="preserve"> </w:t>
      </w:r>
      <w:r>
        <w:t xml:space="preserve">Congelar todo indefinidamente, nunca ir a juicio, nunca pagar.</w:t>
      </w:r>
    </w:p>
    <w:p>
      <w:pPr>
        <w:pStyle w:val="BodyText"/>
      </w:pPr>
      <w:r>
        <w:t xml:space="preserve">Es el mismo playbook de 2025:</w:t>
      </w:r>
      <w:r>
        <w:t xml:space="preserve"> </w:t>
      </w:r>
      <w:r>
        <w:t xml:space="preserve">- Obtuvieron cautelar</w:t>
      </w:r>
      <w:r>
        <w:t xml:space="preserve"> </w:t>
      </w:r>
      <w:r>
        <w:t xml:space="preserve">- Nunca llevaron el caso a sentencia</w:t>
      </w:r>
      <w:r>
        <w:t xml:space="preserve"> </w:t>
      </w:r>
      <w:r>
        <w:t xml:space="preserve">- Caso sigue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- No pagaron ni un colón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e-6-contra-estrategia-a-largo-plazo"/>
    <w:p>
      <w:pPr>
        <w:pStyle w:val="Heading1"/>
      </w:pPr>
      <w:r>
        <w:t xml:space="preserve">PARTE 6: CONTRA-ESTRATEGIA A LARGO PLAZO</w:t>
      </w:r>
    </w:p>
    <w:bookmarkStart w:id="32" w:name="debilidades-de-su-estrategia"/>
    <w:p>
      <w:pPr>
        <w:pStyle w:val="Heading2"/>
      </w:pPr>
      <w:r>
        <w:t xml:space="preserve">Debilidades de su Estrategia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Abuso del derecho</w:t>
      </w:r>
      <w:r>
        <w:t xml:space="preserve"> </w:t>
      </w:r>
      <w:r>
        <w:t xml:space="preserve">— Patrón documentado puede llevar a condena en daños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Caso 2025 debe resolverse</w:t>
      </w:r>
      <w:r>
        <w:t xml:space="preserve"> </w:t>
      </w:r>
      <w:r>
        <w:t xml:space="preserve">— Pueden forzarlo a juicio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Deuda sigue creciendo</w:t>
      </w:r>
      <w:r>
        <w:t xml:space="preserve"> </w:t>
      </w:r>
      <w:r>
        <w:t xml:space="preserve">— $24K hoy → $40K+ en un año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pueden vender</w:t>
      </w:r>
      <w:r>
        <w:t xml:space="preserve"> </w:t>
      </w:r>
      <w:r>
        <w:t xml:space="preserve">— Propiedades con gravámenes y disputas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Costo reputacional para SFERA</w:t>
      </w:r>
      <w:r>
        <w:t xml:space="preserve"> </w:t>
      </w:r>
      <w:r>
        <w:t xml:space="preserve">— Patrón de litigio abusivo</w:t>
      </w:r>
    </w:p>
    <w:bookmarkEnd w:id="32"/>
    <w:bookmarkStart w:id="33" w:name="acciones-recomendadas"/>
    <w:p>
      <w:pPr>
        <w:pStyle w:val="Heading2"/>
      </w:pPr>
      <w:r>
        <w:t xml:space="preserve">Acciones Recomendadas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Forzar caso 2025 a sentencia</w:t>
            </w:r>
          </w:p>
        </w:tc>
        <w:tc>
          <w:tcPr/>
          <w:p>
            <w:pPr>
              <w:pStyle w:val="Compact"/>
            </w:pPr>
            <w:r>
              <w:t xml:space="preserve">Si no prueban nulidad, pierden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Documentar todo</w:t>
            </w:r>
          </w:p>
        </w:tc>
        <w:tc>
          <w:tcPr/>
          <w:p>
            <w:pPr>
              <w:pStyle w:val="Compact"/>
            </w:pPr>
            <w:r>
              <w:t xml:space="preserve">Construir caso de abuso procesal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Dejar acumular deuda</w:t>
            </w:r>
          </w:p>
        </w:tc>
        <w:tc>
          <w:tcPr/>
          <w:p>
            <w:pPr>
              <w:pStyle w:val="Compact"/>
            </w:pPr>
            <w:r>
              <w:t xml:space="preserve">Juicio eventual más grande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hipoteca eventualmente</w:t>
            </w:r>
          </w:p>
        </w:tc>
        <w:tc>
          <w:tcPr/>
          <w:p>
            <w:pPr>
              <w:pStyle w:val="Compact"/>
            </w:pPr>
            <w:r>
              <w:t xml:space="preserve">Pagan o pierden propiedades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Reconvención por daños</w:t>
            </w:r>
          </w:p>
        </w:tc>
        <w:tc>
          <w:tcPr/>
          <w:p>
            <w:pPr>
              <w:pStyle w:val="Compact"/>
            </w:pPr>
            <w:r>
              <w:t xml:space="preserve">Hacer litigio costoso para ELLOS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Pregunta clave para Edwin:</w:t>
      </w:r>
      <w:r>
        <w:t xml:space="preserve"> </w:t>
      </w:r>
      <w:r>
        <w:t xml:space="preserve">¿Se puede forzar el caso 2025 a juicio?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1ebe4148362873ba5d94bd701c775e8de453112"/>
    <w:p>
      <w:pPr>
        <w:pStyle w:val="Heading1"/>
      </w:pPr>
      <w:r>
        <w:t xml:space="preserve">PARTE 7: POSIBLE CORRUPCIÓN EN FISCALÍA NICOYA</w:t>
      </w:r>
    </w:p>
    <w:bookmarkStart w:id="35" w:name="sospecha-de-catalina"/>
    <w:p>
      <w:pPr>
        <w:pStyle w:val="Heading2"/>
      </w:pPr>
      <w:r>
        <w:t xml:space="preserve">Sospecha de Catalina</w:t>
      </w:r>
    </w:p>
    <w:p>
      <w:pPr>
        <w:pStyle w:val="FirstParagraph"/>
      </w:pPr>
      <w:r>
        <w:t xml:space="preserve">SFERA parece ganar en Fiscalía Nicoya incluso cuando está claramente equivocado.</w:t>
      </w:r>
    </w:p>
    <w:bookmarkEnd w:id="35"/>
    <w:bookmarkStart w:id="36" w:name="señales-de-alerta"/>
    <w:p>
      <w:pPr>
        <w:pStyle w:val="Heading2"/>
      </w:pPr>
      <w:r>
        <w:t xml:space="preserve">Señales de Alerta</w:t>
      </w:r>
    </w:p>
    <w:p>
      <w:pPr>
        <w:pStyle w:val="Compact"/>
        <w:numPr>
          <w:ilvl w:val="0"/>
          <w:numId w:val="1010"/>
        </w:numPr>
      </w:pPr>
      <w:r>
        <w:t xml:space="preserve">Velocidad imposible en resoluciones</w:t>
      </w:r>
    </w:p>
    <w:p>
      <w:pPr>
        <w:pStyle w:val="Compact"/>
        <w:numPr>
          <w:ilvl w:val="0"/>
          <w:numId w:val="1010"/>
        </w:numPr>
      </w:pPr>
      <w:r>
        <w:t xml:space="preserve">Casos débiles que prosperan</w:t>
      </w:r>
    </w:p>
    <w:p>
      <w:pPr>
        <w:pStyle w:val="Compact"/>
        <w:numPr>
          <w:ilvl w:val="0"/>
          <w:numId w:val="1010"/>
        </w:numPr>
      </w:pPr>
      <w:r>
        <w:t xml:space="preserve">Defensas fuertes ignoradas</w:t>
      </w:r>
    </w:p>
    <w:p>
      <w:pPr>
        <w:pStyle w:val="Compact"/>
        <w:numPr>
          <w:ilvl w:val="0"/>
          <w:numId w:val="1010"/>
        </w:numPr>
      </w:pPr>
      <w:r>
        <w:t xml:space="preserve">Siempre el mismo personal</w:t>
      </w:r>
    </w:p>
    <w:bookmarkEnd w:id="36"/>
    <w:bookmarkStart w:id="37" w:name="cómo-confirmar-flush-the-rat"/>
    <w:p>
      <w:pPr>
        <w:pStyle w:val="Heading2"/>
      </w:pPr>
      <w:r>
        <w:t xml:space="preserve">Cómo Confirmar (</w:t>
      </w:r>
      <w:r>
        <w:t xml:space="preserve">“Flush the Rat”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Información diferenciada</w:t>
      </w:r>
      <w:r>
        <w:t xml:space="preserve"> </w:t>
      </w:r>
      <w:r>
        <w:t xml:space="preserve">— Dar info distinta a distintas personas, ver cuál llega a SFERA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Trampa canario</w:t>
      </w:r>
      <w:r>
        <w:t xml:space="preserve"> </w:t>
      </w:r>
      <w:r>
        <w:t xml:space="preserve">— Incluir detalle único en documento, ver si SFERA lo menciona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Auditoría de consultas</w:t>
      </w:r>
      <w:r>
        <w:t xml:space="preserve"> </w:t>
      </w:r>
      <w:r>
        <w:t xml:space="preserve">— Pedir registro de quién accede al expediente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Timing estratégico</w:t>
      </w:r>
      <w:r>
        <w:t xml:space="preserve"> </w:t>
      </w:r>
      <w:r>
        <w:t xml:space="preserve">— Presentar a las 4:55pm viernes, ver si SFERA responde imposiblemente rápido</w:t>
      </w:r>
    </w:p>
    <w:bookmarkEnd w:id="37"/>
    <w:bookmarkStart w:id="38" w:name="si-se-confirma"/>
    <w:p>
      <w:pPr>
        <w:pStyle w:val="Heading2"/>
      </w:pPr>
      <w:r>
        <w:t xml:space="preserve">Si Se Confirma</w:t>
      </w:r>
    </w:p>
    <w:p>
      <w:pPr>
        <w:pStyle w:val="Compact"/>
        <w:numPr>
          <w:ilvl w:val="0"/>
          <w:numId w:val="1012"/>
        </w:numPr>
      </w:pPr>
      <w:r>
        <w:t xml:space="preserve">OIJ (Organismo de Investigación Judicial)</w:t>
      </w:r>
    </w:p>
    <w:p>
      <w:pPr>
        <w:pStyle w:val="Compact"/>
        <w:numPr>
          <w:ilvl w:val="0"/>
          <w:numId w:val="1012"/>
        </w:numPr>
      </w:pPr>
      <w:r>
        <w:t xml:space="preserve">Inspección Judicial</w:t>
      </w:r>
    </w:p>
    <w:p>
      <w:pPr>
        <w:pStyle w:val="Compact"/>
        <w:numPr>
          <w:ilvl w:val="0"/>
          <w:numId w:val="1012"/>
        </w:numPr>
      </w:pPr>
      <w:r>
        <w:t xml:space="preserve">Defensoría de los Habitantes</w:t>
      </w:r>
    </w:p>
    <w:p>
      <w:pPr>
        <w:pStyle w:val="Compact"/>
        <w:numPr>
          <w:ilvl w:val="0"/>
          <w:numId w:val="1012"/>
        </w:numPr>
      </w:pPr>
      <w:r>
        <w:t xml:space="preserve">Fiscalía General en San José</w:t>
      </w:r>
    </w:p>
    <w:p>
      <w:pPr>
        <w:pStyle w:val="Compact"/>
        <w:numPr>
          <w:ilvl w:val="0"/>
          <w:numId w:val="1012"/>
        </w:numPr>
      </w:pPr>
      <w:r>
        <w:t xml:space="preserve">Prensa (opción nuclear)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ocumentos-generados"/>
    <w:p>
      <w:pPr>
        <w:pStyle w:val="Heading1"/>
      </w:pPr>
      <w:r>
        <w:t xml:space="preserve">DOCUMENTOS GENERADOS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analisis-caso-sfera-completo.docx</w:t>
            </w:r>
          </w:p>
        </w:tc>
        <w:tc>
          <w:tcPr/>
          <w:p>
            <w:pPr>
              <w:pStyle w:val="Compact"/>
            </w:pPr>
            <w:r>
              <w:t xml:space="preserve">Briefing completo para abogados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respuesta-medida-cautelar-completa.docx</w:t>
            </w:r>
          </w:p>
        </w:tc>
        <w:tc>
          <w:tcPr/>
          <w:p>
            <w:pPr>
              <w:pStyle w:val="Compact"/>
            </w:pPr>
            <w:r>
              <w:t xml:space="preserve">Respuesta formal al fondo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oposicion-nulidad-notificacion.docx</w:t>
            </w:r>
          </w:p>
        </w:tc>
        <w:tc>
          <w:tcPr/>
          <w:p>
            <w:pPr>
              <w:pStyle w:val="Compact"/>
            </w:pPr>
            <w:r>
              <w:t xml:space="preserve">Escrito de nulidad de notificación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~/.openclaw/workspace/projects/mar-azul-legal/documents/</w:t>
      </w:r>
    </w:p>
    <w:p>
      <w:pPr>
        <w:pStyle w:val="BodyText"/>
      </w:pPr>
      <w:r>
        <w:rPr>
          <w:b/>
          <w:bCs/>
        </w:rPr>
        <w:t xml:space="preserve">Enviados a:</w:t>
      </w:r>
      <w:r>
        <w:t xml:space="preserve"> </w:t>
      </w:r>
      <w:r>
        <w:t xml:space="preserve">marionnosara@gmail.com (para reenvío a abogados)</w:t>
      </w:r>
    </w:p>
    <w:p>
      <w:r>
        <w:pict>
          <v:rect style="width:0;height:1.5pt" o:hralign="center" o:hrstd="t" o:hr="t"/>
        </w:pict>
      </w:r>
    </w:p>
    <w:bookmarkEnd w:id="40"/>
    <w:bookmarkStart w:id="41" w:name="próximos-pasos"/>
    <w:p>
      <w:pPr>
        <w:pStyle w:val="Heading1"/>
      </w:pPr>
      <w:r>
        <w:t xml:space="preserve">PRÓXIMOS PASOS</w:t>
      </w:r>
    </w:p>
    <w:p>
      <w:pPr>
        <w:pStyle w:val="Compact"/>
        <w:numPr>
          <w:ilvl w:val="0"/>
          <w:numId w:val="1013"/>
        </w:numPr>
      </w:pPr>
      <w:r>
        <w:t xml:space="preserve">✅ Edwin inicia impugnación de notificación</w:t>
      </w:r>
    </w:p>
    <w:p>
      <w:pPr>
        <w:pStyle w:val="Compact"/>
        <w:numPr>
          <w:ilvl w:val="0"/>
          <w:numId w:val="1013"/>
        </w:numPr>
      </w:pPr>
      <w:r>
        <w:t xml:space="preserve">⏳ Obtener declaraciones juradas de 3 testigos</w:t>
      </w:r>
    </w:p>
    <w:p>
      <w:pPr>
        <w:pStyle w:val="Compact"/>
        <w:numPr>
          <w:ilvl w:val="0"/>
          <w:numId w:val="1013"/>
        </w:numPr>
      </w:pPr>
      <w:r>
        <w:t xml:space="preserve">⏳ Considerar forzar caso 2025 a sentencia</w:t>
      </w:r>
    </w:p>
    <w:p>
      <w:pPr>
        <w:pStyle w:val="Compact"/>
        <w:numPr>
          <w:ilvl w:val="0"/>
          <w:numId w:val="1013"/>
        </w:numPr>
      </w:pPr>
      <w:r>
        <w:t xml:space="preserve">⏳ Documentar patrón para eventual demanda por abuso</w:t>
      </w:r>
    </w:p>
    <w:p>
      <w:pPr>
        <w:pStyle w:val="Compact"/>
        <w:numPr>
          <w:ilvl w:val="0"/>
          <w:numId w:val="1013"/>
        </w:numPr>
      </w:pPr>
      <w:r>
        <w:t xml:space="preserve">⏳ Investigar posible corrupción en Fiscalía Nicoya</w:t>
      </w:r>
    </w:p>
    <w:p>
      <w:r>
        <w:pict>
          <v:rect style="width:0;height:1.5pt" o:hralign="center" o:hrstd="t" o:hr="t"/>
        </w:pict>
      </w:r>
    </w:p>
    <w:bookmarkEnd w:id="41"/>
    <w:bookmarkStart w:id="42" w:name="posición-actual"/>
    <w:p>
      <w:pPr>
        <w:pStyle w:val="Heading1"/>
      </w:pPr>
      <w:r>
        <w:t xml:space="preserve">POSICIÓN ACTUAL</w:t>
      </w:r>
    </w:p>
    <w:p>
      <w:pPr>
        <w:pStyle w:val="FirstParagraph"/>
      </w:pPr>
      <w:r>
        <w:rPr>
          <w:b/>
          <w:bCs/>
        </w:rPr>
        <w:t xml:space="preserve">Marion está en control:</w:t>
      </w:r>
      <w:r>
        <w:t xml:space="preserve"> </w:t>
      </w:r>
      <w:r>
        <w:t xml:space="preserve">- No está válidamente notificado → no hay deadline</w:t>
      </w:r>
      <w:r>
        <w:t xml:space="preserve"> </w:t>
      </w:r>
      <w:r>
        <w:t xml:space="preserve">- Tiene tiempo para preparar defensa sólida</w:t>
      </w:r>
      <w:r>
        <w:t xml:space="preserve"> </w:t>
      </w:r>
      <w:r>
        <w:t xml:space="preserve">- 3 testigos listos</w:t>
      </w:r>
      <w:r>
        <w:t xml:space="preserve"> </w:t>
      </w:r>
      <w:r>
        <w:t xml:space="preserve">- Evidencia matemática de que Art. 27 se cumplió</w:t>
      </w:r>
      <w:r>
        <w:t xml:space="preserve"> </w:t>
      </w:r>
      <w:r>
        <w:t xml:space="preserve">- La propia prueba de SFERA demuestra que la asamblea fue válida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22 de mayo de 2026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2026-05-23T01:19:11Z</dcterms:created>
  <dcterms:modified xsi:type="dcterms:W3CDTF">2026-05-23T01:19:11Z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